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360"/>
        <w:jc w:val="center"/>
        <w:rPr>
          <w:rFonts w:ascii="Roboto" w:hAnsi="Roboto"/>
          <w:b/>
        </w:rPr>
      </w:pPr>
      <w:r>
        <w:rPr>
          <w:rFonts w:ascii="Roboto" w:hAnsi="Roboto"/>
          <w:b/>
        </w:rPr>
        <w:t xml:space="preserve">Kriterienraster </w:t>
      </w:r>
    </w:p>
    <w:p>
      <w:pPr>
        <w:pStyle w:val="Normal"/>
        <w:ind w:start="360"/>
        <w:jc w:val="center"/>
        <w:rPr>
          <w:rFonts w:ascii="Roboto" w:hAnsi="Roboto"/>
          <w:b/>
        </w:rPr>
      </w:pPr>
      <w:r>
        <w:rPr>
          <w:rFonts w:ascii="Roboto" w:hAnsi="Roboto"/>
          <w:b/>
        </w:rPr>
        <w:t xml:space="preserve">auf Grundlage der Studienordnung und der Prüfungsordnung für den weiterbildenden Studiengang [Bezeichnung] mit dem Abschluss […] an der Technischen Universität Chemnitz vom [Tag.Monat.Jahr] (Amtliche Bekanntmachungen Nr. x/[Jahr], </w:t>
        <w:br/>
        <w:t>S. xx), zuletzt geändert durch Artikel x und x der Satzung vom [Tag.Monat.Jahr] (Amtliche Bekanntmachungen Nr. x/[Jahr, S. xx)</w:t>
      </w:r>
    </w:p>
    <w:p>
      <w:pPr>
        <w:pStyle w:val="Normal"/>
        <w:ind w:start="360"/>
        <w:jc w:val="center"/>
        <w:rPr>
          <w:rFonts w:ascii="Roboto" w:hAnsi="Roboto"/>
          <w:b/>
        </w:rPr>
      </w:pPr>
      <w:r>
        <w:rPr>
          <w:rFonts w:ascii="Roboto" w:hAnsi="Roboto"/>
          <w:b/>
        </w:rPr>
      </w:r>
    </w:p>
    <w:p>
      <w:pPr>
        <w:pStyle w:val="Normal"/>
        <w:rPr>
          <w:rFonts w:ascii="Roboto" w:hAnsi="Roboto"/>
          <w:b/>
        </w:rPr>
      </w:pPr>
      <w:r>
        <w:rPr>
          <w:rFonts w:ascii="Roboto" w:hAnsi="Roboto"/>
          <w:b/>
        </w:rPr>
      </w:r>
    </w:p>
    <w:p>
      <w:pPr>
        <w:pStyle w:val="Hinweis"/>
        <w:framePr w:w="991" w:h="678" w:y="1" w:hSpace="0" w:vSpace="0" w:wrap="around" w:vAnchor="text" w:hAnchor="text" w:hRule="exact"/>
        <w:pBdr>
          <w:top w:val="single" w:sz="4" w:space="10" w:color="000000"/>
          <w:left w:val="single" w:sz="4" w:space="4" w:color="000000"/>
          <w:bottom w:val="single" w:sz="4" w:space="10" w:color="000000"/>
          <w:right w:val="single" w:sz="4" w:space="4" w:color="000000"/>
        </w:pBdr>
        <w:rPr>
          <w:rFonts w:ascii="Roboto" w:hAnsi="Roboto"/>
          <w:b/>
          <w:sz w:val="22"/>
          <w:szCs w:val="22"/>
        </w:rPr>
      </w:pPr>
      <w:r>
        <w:rPr>
          <w:rFonts w:ascii="Roboto" w:hAnsi="Roboto"/>
          <w:b/>
          <w:sz w:val="22"/>
          <w:szCs w:val="22"/>
        </w:rPr>
        <w:t>Hinweise:</w:t>
      </w:r>
    </w:p>
    <w:p>
      <w:pPr>
        <w:pStyle w:val="Hinweis"/>
        <w:rPr>
          <w:rFonts w:ascii="Roboto" w:hAnsi="Roboto"/>
          <w:sz w:val="22"/>
          <w:szCs w:val="22"/>
        </w:rPr>
      </w:pPr>
      <w:r>
        <w:rPr>
          <w:rFonts w:ascii="Roboto" w:hAnsi="Roboto"/>
          <w:sz w:val="22"/>
          <w:szCs w:val="22"/>
        </w:rPr>
        <w:t>Die Sammlung der Kriterien speist sich aus den formalen Anforderungen der SächsStudAkkVO</w:t>
      </w:r>
      <w:r>
        <w:rPr>
          <w:rStyle w:val="FootnoteReference"/>
          <w:rFonts w:ascii="Roboto" w:hAnsi="Roboto"/>
          <w:sz w:val="22"/>
          <w:szCs w:val="22"/>
        </w:rPr>
        <w:footnoteReference w:id="2"/>
      </w:r>
      <w:r>
        <w:rPr>
          <w:rFonts w:ascii="Roboto" w:hAnsi="Roboto"/>
          <w:sz w:val="22"/>
          <w:szCs w:val="22"/>
        </w:rPr>
        <w:t xml:space="preserve"> sowie den Regelungen im SächsHSG</w:t>
      </w:r>
      <w:r>
        <w:rPr>
          <w:rStyle w:val="FootnoteReference"/>
          <w:rFonts w:ascii="Roboto" w:hAnsi="Roboto"/>
          <w:sz w:val="22"/>
          <w:szCs w:val="22"/>
        </w:rPr>
        <w:footnoteReference w:id="3"/>
      </w:r>
      <w:r>
        <w:rPr>
          <w:rFonts w:ascii="Roboto" w:hAnsi="Roboto"/>
          <w:sz w:val="22"/>
          <w:szCs w:val="22"/>
        </w:rPr>
        <w:t xml:space="preserve"> für weiterbildende Masterstudiengänge. Außerdem sind weitere fachlich-inhaltliche Kriterien aufgenommen, die sich auf Grundlage der Studien- oder Prüfungsordnung eineindeutig einschätzen lassen (z. B. die Modulgröße). Andere fachlich-inhaltliche Kriterien (z. B. Prüfungen sind kompetenzorientiert) werden im Selbstbericht für die Interne Akkreditierung des Studiengangs durch den Studiendekan/die Studiendekanin dokumentiert und eingeschätzt und durch die externen Gutachter und Gutachterinnen bewertet. </w:t>
      </w:r>
    </w:p>
    <w:p>
      <w:pPr>
        <w:pStyle w:val="Hinweis"/>
        <w:rPr>
          <w:rFonts w:ascii="Roboto" w:hAnsi="Roboto"/>
          <w:sz w:val="22"/>
          <w:szCs w:val="22"/>
        </w:rPr>
      </w:pPr>
      <w:r>
        <w:rPr>
          <w:rFonts w:ascii="Roboto" w:hAnsi="Roboto"/>
          <w:sz w:val="22"/>
          <w:szCs w:val="22"/>
        </w:rPr>
      </w:r>
    </w:p>
    <w:p>
      <w:pPr>
        <w:pStyle w:val="Hinweis"/>
        <w:rPr>
          <w:rFonts w:ascii="Roboto" w:hAnsi="Roboto"/>
          <w:sz w:val="22"/>
          <w:szCs w:val="22"/>
        </w:rPr>
      </w:pPr>
      <w:r>
        <w:rPr>
          <w:rFonts w:ascii="Roboto" w:hAnsi="Roboto"/>
          <w:sz w:val="22"/>
          <w:szCs w:val="22"/>
        </w:rPr>
        <w:t xml:space="preserve">Um die Kriterien möglichst kurz zu halten, wird nicht wörtlich zitiert. </w:t>
      </w:r>
    </w:p>
    <w:p>
      <w:pPr>
        <w:pStyle w:val="Hinweis"/>
        <w:rPr>
          <w:rFonts w:ascii="Roboto" w:hAnsi="Roboto"/>
          <w:sz w:val="22"/>
          <w:szCs w:val="22"/>
        </w:rPr>
      </w:pPr>
      <w:r>
        <w:rPr>
          <w:rFonts w:ascii="Roboto" w:hAnsi="Roboto"/>
          <w:sz w:val="22"/>
          <w:szCs w:val="22"/>
        </w:rPr>
      </w:r>
    </w:p>
    <w:p>
      <w:pPr>
        <w:pStyle w:val="Hinweis"/>
        <w:rPr>
          <w:rFonts w:ascii="Roboto" w:hAnsi="Roboto"/>
          <w:sz w:val="22"/>
          <w:szCs w:val="22"/>
        </w:rPr>
      </w:pPr>
      <w:r>
        <w:rPr>
          <w:rFonts w:ascii="Roboto" w:hAnsi="Roboto"/>
          <w:sz w:val="22"/>
          <w:szCs w:val="22"/>
        </w:rPr>
        <w:t xml:space="preserve">Eine erste Prüfung erfolgt durch den Studiendekan/die Studiendekanin. Eine zweite Prüfung erfolgt seitens der Zentralen Universitätsverwaltung. </w:t>
      </w:r>
    </w:p>
    <w:p>
      <w:pPr>
        <w:pStyle w:val="Hinweis"/>
        <w:rPr>
          <w:rFonts w:ascii="Roboto" w:hAnsi="Roboto"/>
          <w:sz w:val="22"/>
          <w:szCs w:val="22"/>
        </w:rPr>
      </w:pPr>
      <w:r>
        <w:rPr>
          <w:rFonts w:ascii="Roboto" w:hAnsi="Roboto"/>
          <w:sz w:val="22"/>
          <w:szCs w:val="22"/>
        </w:rPr>
      </w:r>
    </w:p>
    <w:p>
      <w:pPr>
        <w:pStyle w:val="Hinweis"/>
        <w:rPr>
          <w:rFonts w:ascii="Roboto" w:hAnsi="Roboto"/>
          <w:sz w:val="22"/>
          <w:szCs w:val="22"/>
        </w:rPr>
      </w:pPr>
      <w:r>
        <w:rPr>
          <w:rFonts w:ascii="Roboto" w:hAnsi="Roboto"/>
          <w:sz w:val="22"/>
          <w:szCs w:val="22"/>
        </w:rPr>
        <w:t xml:space="preserve">Sofern es sich bei einem Kriterium um einen Ausnahmefall handelt, in dem eine Begründung erfolgen kann, wenn es nicht in Gänze erfüllt ist, ist die Begründung durch den Studiendekan bereitzustellen. Die betreffenden Kriterien sind mit * gekennzeichnet. Die Begründung ist seitens des Fakultätsrates und des Rektorates zu bestätigen. </w:t>
      </w:r>
    </w:p>
    <w:p>
      <w:pPr>
        <w:pStyle w:val="Hinweis"/>
        <w:rPr>
          <w:rFonts w:ascii="Roboto" w:hAnsi="Roboto"/>
          <w:sz w:val="22"/>
          <w:szCs w:val="22"/>
        </w:rPr>
      </w:pPr>
      <w:r>
        <w:rPr>
          <w:rFonts w:ascii="Roboto" w:hAnsi="Roboto"/>
          <w:sz w:val="22"/>
          <w:szCs w:val="22"/>
        </w:rPr>
      </w:r>
    </w:p>
    <w:p>
      <w:pPr>
        <w:pStyle w:val="Hinweis"/>
        <w:rPr>
          <w:rFonts w:ascii="Roboto" w:hAnsi="Roboto"/>
          <w:sz w:val="22"/>
          <w:szCs w:val="22"/>
        </w:rPr>
      </w:pPr>
      <w:r>
        <w:rPr>
          <w:rFonts w:ascii="Roboto" w:hAnsi="Roboto"/>
          <w:sz w:val="22"/>
          <w:szCs w:val="22"/>
        </w:rPr>
        <w:t xml:space="preserve">Bei einigen Kriterien bietet sich an, die Erfüllung anhand von Verweisen zu belegen und beispielhaft aufzuführen (z. B. die Wahlmöglichkeiten). Diese Kriterien sind mit ** gekennzeichnet. </w:t>
      </w:r>
    </w:p>
    <w:p>
      <w:pPr>
        <w:pStyle w:val="Hinweis"/>
        <w:rPr>
          <w:rFonts w:ascii="Roboto" w:hAnsi="Roboto"/>
          <w:sz w:val="22"/>
          <w:szCs w:val="22"/>
        </w:rPr>
      </w:pPr>
      <w:r>
        <w:rPr>
          <w:rFonts w:ascii="Roboto" w:hAnsi="Roboto"/>
          <w:sz w:val="22"/>
          <w:szCs w:val="22"/>
        </w:rPr>
      </w:r>
    </w:p>
    <w:p>
      <w:pPr>
        <w:pStyle w:val="Hinweis"/>
        <w:rPr>
          <w:rFonts w:ascii="Roboto" w:hAnsi="Roboto"/>
          <w:sz w:val="22"/>
          <w:szCs w:val="22"/>
        </w:rPr>
      </w:pPr>
      <w:r>
        <w:rPr>
          <w:rFonts w:ascii="Roboto" w:hAnsi="Roboto"/>
          <w:sz w:val="22"/>
          <w:szCs w:val="22"/>
        </w:rPr>
        <w:t xml:space="preserve">Grundlage bildet jeweils die aktuelle Fassung des Studiengangkonzeptes sowie der Studien- und Prüfungsordnung. </w:t>
      </w:r>
    </w:p>
    <w:p>
      <w:pPr>
        <w:pStyle w:val="Normal"/>
        <w:rPr>
          <w:rFonts w:ascii="Roboto" w:hAnsi="Roboto"/>
          <w:bCs/>
        </w:rPr>
      </w:pPr>
      <w:r>
        <w:rPr>
          <w:rFonts w:ascii="Roboto" w:hAnsi="Roboto"/>
          <w:bCs/>
        </w:rPr>
      </w:r>
    </w:p>
    <w:p>
      <w:pPr>
        <w:pStyle w:val="Normal"/>
        <w:rPr>
          <w:rFonts w:ascii="Roboto" w:hAnsi="Roboto"/>
          <w:bCs/>
        </w:rPr>
      </w:pPr>
      <w:r>
        <w:rPr>
          <w:rFonts w:ascii="Roboto" w:hAnsi="Roboto"/>
          <w:bCs/>
        </w:rPr>
      </w:r>
    </w:p>
    <w:p>
      <w:pPr>
        <w:pStyle w:val="Normal"/>
        <w:rPr>
          <w:rFonts w:ascii="Roboto" w:hAnsi="Roboto"/>
          <w:bCs/>
        </w:rPr>
      </w:pPr>
      <w:r>
        <w:rPr>
          <w:rFonts w:ascii="Roboto" w:hAnsi="Roboto"/>
          <w:bCs/>
        </w:rPr>
      </w:r>
    </w:p>
    <w:p>
      <w:pPr>
        <w:pStyle w:val="Normal"/>
        <w:spacing w:lineRule="auto" w:line="259" w:before="0" w:after="160"/>
        <w:rPr>
          <w:rFonts w:ascii="Roboto" w:hAnsi="Roboto"/>
          <w:bCs/>
        </w:rPr>
      </w:pPr>
      <w:r>
        <w:rPr>
          <w:rFonts w:ascii="Roboto" w:hAnsi="Roboto"/>
          <w:bCs/>
        </w:rPr>
      </w:r>
      <w:r>
        <w:br w:type="page"/>
      </w:r>
    </w:p>
    <w:p>
      <w:pPr>
        <w:pStyle w:val="Normal"/>
        <w:spacing w:before="0" w:after="0"/>
        <w:rPr>
          <w:rFonts w:ascii="Roboto" w:hAnsi="Roboto"/>
          <w:bCs/>
        </w:rPr>
      </w:pPr>
      <w:r>
        <w:rPr>
          <w:rFonts w:ascii="Roboto" w:hAnsi="Roboto"/>
          <w:bCs/>
        </w:rPr>
      </w:r>
    </w:p>
    <w:tbl>
      <w:tblPr>
        <w:tblStyle w:val="Tabellenraster"/>
        <w:tblW w:w="9923" w:type="dxa"/>
        <w:jc w:val="start"/>
        <w:tblInd w:w="-431" w:type="dxa"/>
        <w:tblLayout w:type="fixed"/>
        <w:tblCellMar>
          <w:top w:w="0" w:type="dxa"/>
          <w:start w:w="108" w:type="dxa"/>
          <w:bottom w:w="0" w:type="dxa"/>
          <w:end w:w="108" w:type="dxa"/>
        </w:tblCellMar>
        <w:tblLook w:val="04a0" w:noHBand="0" w:noVBand="1" w:firstColumn="1" w:lastRow="0" w:lastColumn="0" w:firstRow="1"/>
      </w:tblPr>
      <w:tblGrid>
        <w:gridCol w:w="620"/>
        <w:gridCol w:w="3208"/>
        <w:gridCol w:w="1842"/>
        <w:gridCol w:w="1134"/>
        <w:gridCol w:w="1560"/>
        <w:gridCol w:w="1559"/>
      </w:tblGrid>
      <w:tr>
        <w:trPr>
          <w:tblHeader w:val="true"/>
        </w:trPr>
        <w:tc>
          <w:tcPr>
            <w:tcW w:w="620" w:type="dxa"/>
            <w:tcBorders/>
            <w:shd w:color="auto" w:fill="D9D9D9" w:themeFill="background1" w:themeFillShade="d9" w:val="clear"/>
          </w:tcPr>
          <w:p>
            <w:pPr>
              <w:pStyle w:val="Normal"/>
              <w:widowControl/>
              <w:suppressAutoHyphens w:val="true"/>
              <w:spacing w:before="0" w:after="0"/>
              <w:jc w:val="start"/>
              <w:rPr>
                <w:rFonts w:ascii="Roboto" w:hAnsi="Roboto" w:cs="Calibri" w:cstheme="minorHAnsi"/>
                <w:b/>
              </w:rPr>
            </w:pPr>
            <w:r>
              <w:rPr>
                <w:rFonts w:cs="Calibri" w:ascii="Roboto" w:hAnsi="Roboto" w:cstheme="minorHAnsi"/>
                <w:b/>
                <w:kern w:val="0"/>
                <w:sz w:val="20"/>
                <w:szCs w:val="20"/>
                <w:lang w:val="de-DE" w:bidi="ar-SA"/>
              </w:rPr>
              <w:t xml:space="preserve">Nr. </w:t>
            </w:r>
          </w:p>
        </w:tc>
        <w:tc>
          <w:tcPr>
            <w:tcW w:w="3208" w:type="dxa"/>
            <w:tcBorders/>
            <w:shd w:color="auto" w:fill="D9D9D9" w:themeFill="background1" w:themeFillShade="d9" w:val="clear"/>
          </w:tcPr>
          <w:p>
            <w:pPr>
              <w:pStyle w:val="Normal"/>
              <w:widowControl/>
              <w:suppressAutoHyphens w:val="true"/>
              <w:spacing w:before="0" w:after="0"/>
              <w:jc w:val="start"/>
              <w:rPr>
                <w:rFonts w:ascii="Roboto" w:hAnsi="Roboto" w:cs="Calibri" w:cstheme="minorHAnsi"/>
                <w:b/>
              </w:rPr>
            </w:pPr>
            <w:r>
              <w:rPr>
                <w:rFonts w:cs="Calibri" w:ascii="Roboto" w:hAnsi="Roboto" w:cstheme="minorHAnsi"/>
                <w:b/>
                <w:kern w:val="0"/>
                <w:sz w:val="20"/>
                <w:szCs w:val="20"/>
                <w:lang w:val="de-DE" w:bidi="ar-SA"/>
              </w:rPr>
              <w:t xml:space="preserve">Kriterium </w:t>
            </w:r>
          </w:p>
        </w:tc>
        <w:tc>
          <w:tcPr>
            <w:tcW w:w="1842" w:type="dxa"/>
            <w:tcBorders/>
            <w:shd w:color="auto" w:fill="D9D9D9" w:themeFill="background1" w:themeFillShade="d9" w:val="clear"/>
          </w:tcPr>
          <w:p>
            <w:pPr>
              <w:pStyle w:val="Normal"/>
              <w:widowControl/>
              <w:suppressAutoHyphens w:val="true"/>
              <w:spacing w:before="0" w:after="0"/>
              <w:jc w:val="start"/>
              <w:rPr>
                <w:rFonts w:ascii="Roboto" w:hAnsi="Roboto" w:cs="Calibri" w:cstheme="minorHAnsi"/>
                <w:b/>
              </w:rPr>
            </w:pPr>
            <w:r>
              <w:rPr>
                <w:rFonts w:cs="Calibri" w:ascii="Roboto" w:hAnsi="Roboto" w:cstheme="minorHAnsi"/>
                <w:b/>
                <w:kern w:val="0"/>
                <w:sz w:val="20"/>
                <w:szCs w:val="20"/>
                <w:lang w:val="de-DE" w:bidi="ar-SA"/>
              </w:rPr>
              <w:t>Anforderung</w:t>
            </w:r>
          </w:p>
        </w:tc>
        <w:tc>
          <w:tcPr>
            <w:tcW w:w="1134" w:type="dxa"/>
            <w:tcBorders/>
            <w:shd w:color="auto" w:fill="D9D9D9" w:themeFill="background1" w:themeFillShade="d9" w:val="clear"/>
          </w:tcPr>
          <w:p>
            <w:pPr>
              <w:pStyle w:val="Normal"/>
              <w:widowControl/>
              <w:suppressAutoHyphens w:val="true"/>
              <w:spacing w:before="0" w:after="0"/>
              <w:jc w:val="start"/>
              <w:rPr>
                <w:rFonts w:ascii="Roboto" w:hAnsi="Roboto" w:cs="Calibri" w:cstheme="minorHAnsi"/>
                <w:b/>
              </w:rPr>
            </w:pPr>
            <w:r>
              <w:rPr>
                <w:rFonts w:cs="Calibri" w:ascii="Roboto" w:hAnsi="Roboto" w:cstheme="minorHAnsi"/>
                <w:b/>
                <w:kern w:val="0"/>
                <w:sz w:val="20"/>
                <w:szCs w:val="20"/>
                <w:lang w:val="de-DE" w:bidi="ar-SA"/>
              </w:rPr>
              <w:t xml:space="preserve">Doku.ort </w:t>
            </w:r>
          </w:p>
        </w:tc>
        <w:tc>
          <w:tcPr>
            <w:tcW w:w="1560" w:type="dxa"/>
            <w:tcBorders/>
            <w:shd w:color="auto" w:fill="D9D9D9" w:themeFill="background1" w:themeFillShade="d9" w:val="clear"/>
          </w:tcPr>
          <w:p>
            <w:pPr>
              <w:pStyle w:val="Normal"/>
              <w:widowControl/>
              <w:suppressAutoHyphens w:val="true"/>
              <w:spacing w:before="0" w:after="0"/>
              <w:jc w:val="start"/>
              <w:rPr>
                <w:rFonts w:ascii="Roboto" w:hAnsi="Roboto" w:cs="Calibri" w:cstheme="minorHAnsi"/>
                <w:b/>
              </w:rPr>
            </w:pPr>
            <w:r>
              <w:rPr>
                <w:rFonts w:cs="Calibri" w:ascii="Roboto" w:hAnsi="Roboto" w:cstheme="minorHAnsi"/>
                <w:b/>
                <w:kern w:val="0"/>
                <w:sz w:val="20"/>
                <w:szCs w:val="20"/>
                <w:lang w:val="de-DE" w:bidi="ar-SA"/>
              </w:rPr>
              <w:t>Prüfbericht Studiendekan</w:t>
            </w:r>
          </w:p>
        </w:tc>
        <w:tc>
          <w:tcPr>
            <w:tcW w:w="1559" w:type="dxa"/>
            <w:tcBorders/>
            <w:shd w:color="auto" w:fill="D9D9D9" w:themeFill="background1" w:themeFillShade="d9" w:val="clear"/>
          </w:tcPr>
          <w:p>
            <w:pPr>
              <w:pStyle w:val="Normal"/>
              <w:widowControl/>
              <w:suppressAutoHyphens w:val="true"/>
              <w:spacing w:before="0" w:after="0"/>
              <w:jc w:val="start"/>
              <w:rPr>
                <w:rFonts w:ascii="Roboto" w:hAnsi="Roboto" w:cs="Calibri" w:cstheme="minorHAnsi"/>
                <w:b/>
              </w:rPr>
            </w:pPr>
            <w:r>
              <w:rPr>
                <w:rFonts w:cs="Calibri" w:ascii="Roboto" w:hAnsi="Roboto" w:cstheme="minorHAnsi"/>
                <w:b/>
                <w:kern w:val="0"/>
                <w:sz w:val="20"/>
                <w:szCs w:val="20"/>
                <w:lang w:val="de-DE" w:bidi="ar-SA"/>
              </w:rPr>
              <w:t>Prüfbericht ZUV</w:t>
            </w:r>
          </w:p>
        </w:tc>
      </w:tr>
      <w:tr>
        <w:trPr/>
        <w:tc>
          <w:tcPr>
            <w:tcW w:w="8364" w:type="dxa"/>
            <w:gridSpan w:val="5"/>
            <w:tcBorders/>
            <w:shd w:color="auto" w:fill="D9D9D9" w:themeFill="background1" w:themeFillShade="d9" w:val="clear"/>
          </w:tcPr>
          <w:p>
            <w:pPr>
              <w:pStyle w:val="Normal"/>
              <w:widowControl/>
              <w:suppressAutoHyphens w:val="true"/>
              <w:spacing w:before="0" w:after="0"/>
              <w:jc w:val="start"/>
              <w:rPr>
                <w:kern w:val="0"/>
                <w:sz w:val="20"/>
                <w:szCs w:val="20"/>
                <w:lang w:val="de-DE" w:bidi="ar-SA"/>
              </w:rPr>
            </w:pPr>
            <w:r>
              <w:rPr>
                <w:rFonts w:cs="Calibri" w:ascii="Roboto" w:hAnsi="Roboto" w:cstheme="minorHAnsi"/>
                <w:b/>
                <w:kern w:val="0"/>
                <w:sz w:val="20"/>
                <w:szCs w:val="20"/>
                <w:lang w:val="de-DE" w:bidi="ar-SA"/>
              </w:rPr>
              <w:t>Studiendauer und Abschluss</w:t>
            </w:r>
          </w:p>
        </w:tc>
        <w:tc>
          <w:tcPr>
            <w:tcW w:w="1559" w:type="dxa"/>
            <w:tcBorders/>
            <w:shd w:color="auto" w:fill="D9D9D9" w:themeFill="background1" w:themeFillShade="d9" w:val="clear"/>
          </w:tcPr>
          <w:p>
            <w:pPr>
              <w:pStyle w:val="Normal"/>
              <w:widowControl/>
              <w:suppressAutoHyphens w:val="true"/>
              <w:spacing w:before="0" w:after="0"/>
              <w:jc w:val="start"/>
              <w:rPr>
                <w:rFonts w:ascii="Roboto" w:hAnsi="Roboto" w:cs="Calibri" w:cstheme="minorHAnsi"/>
                <w:b/>
              </w:rPr>
            </w:pPr>
            <w:r>
              <w:rPr>
                <w:rFonts w:cs="Calibri" w:cstheme="minorHAnsi" w:ascii="Roboto" w:hAnsi="Roboto"/>
                <w:b/>
                <w:kern w:val="0"/>
                <w:sz w:val="20"/>
                <w:szCs w:val="20"/>
                <w:lang w:val="de-DE" w:bidi="ar-SA"/>
              </w:rPr>
            </w:r>
          </w:p>
        </w:tc>
      </w:tr>
      <w:tr>
        <w:trPr/>
        <w:tc>
          <w:tcPr>
            <w:tcW w:w="620" w:type="dxa"/>
            <w:tcBorders/>
          </w:tcPr>
          <w:p>
            <w:pPr>
              <w:pStyle w:val="Normal"/>
              <w:widowControl/>
              <w:suppressAutoHyphens w:val="true"/>
              <w:spacing w:before="0" w:after="0"/>
              <w:jc w:val="start"/>
              <w:rPr>
                <w:rFonts w:ascii="Roboto" w:hAnsi="Roboto" w:cs="Calibri" w:cstheme="minorHAnsi"/>
                <w:highlight w:val="yellow"/>
              </w:rPr>
            </w:pPr>
            <w:r>
              <w:rPr>
                <w:rFonts w:cs="Calibri" w:ascii="Roboto" w:hAnsi="Roboto" w:cstheme="minorHAnsi"/>
                <w:kern w:val="0"/>
                <w:sz w:val="20"/>
                <w:szCs w:val="20"/>
                <w:lang w:val="de-DE" w:bidi="ar-SA"/>
              </w:rPr>
              <w:t>1</w:t>
            </w:r>
          </w:p>
        </w:tc>
        <w:tc>
          <w:tcPr>
            <w:tcW w:w="3208" w:type="dxa"/>
            <w:tcBorders/>
          </w:tcPr>
          <w:p>
            <w:pPr>
              <w:pStyle w:val="Normal"/>
              <w:widowControl/>
              <w:suppressAutoHyphens w:val="true"/>
              <w:spacing w:before="0" w:after="0"/>
              <w:jc w:val="start"/>
              <w:rPr>
                <w:rFonts w:ascii="Roboto" w:hAnsi="Roboto" w:cs="Calibri" w:cstheme="minorHAnsi"/>
                <w:color w:val="000000"/>
              </w:rPr>
            </w:pPr>
            <w:r>
              <w:rPr>
                <w:rFonts w:cs="Arial"/>
                <w:kern w:val="0"/>
                <w:sz w:val="20"/>
                <w:szCs w:val="20"/>
                <w:lang w:val="de-DE" w:bidi="ar-SA"/>
              </w:rPr>
              <w:t>Für weiterbildende Masterstudiengänge</w:t>
            </w:r>
            <w:r>
              <w:rPr>
                <w:rStyle w:val="FootnoteReference"/>
                <w:rFonts w:cs="Calibri" w:ascii="Roboto" w:hAnsi="Roboto" w:cstheme="minorHAnsi"/>
                <w:color w:val="000000"/>
                <w:kern w:val="0"/>
                <w:sz w:val="20"/>
                <w:szCs w:val="20"/>
                <w:lang w:val="de-DE" w:bidi="ar-SA"/>
              </w:rPr>
              <w:footnoteReference w:id="4"/>
            </w:r>
            <w:r>
              <w:rPr>
                <w:rFonts w:cs="Arial"/>
                <w:kern w:val="0"/>
                <w:sz w:val="20"/>
                <w:szCs w:val="20"/>
                <w:lang w:val="de-DE" w:bidi="ar-SA"/>
              </w:rPr>
              <w:t xml:space="preserve"> ist eine berufspraktische Erfahrung von mindestens einem Jahr Voraussetzung.</w:t>
            </w:r>
          </w:p>
        </w:tc>
        <w:tc>
          <w:tcPr>
            <w:tcW w:w="1842" w:type="dxa"/>
            <w:tcBorders/>
          </w:tcPr>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 5 Abs. 1 Satz 3 SächsStudAkkVO</w:t>
            </w:r>
          </w:p>
          <w:p>
            <w:pPr>
              <w:pStyle w:val="Normal"/>
              <w:widowControl/>
              <w:suppressAutoHyphens w:val="true"/>
              <w:spacing w:before="0" w:after="0"/>
              <w:jc w:val="start"/>
              <w:rPr>
                <w:kern w:val="0"/>
                <w:sz w:val="20"/>
                <w:szCs w:val="20"/>
                <w:lang w:val="de-DE" w:bidi="ar-SA"/>
              </w:rPr>
            </w:pPr>
            <w:r>
              <w:rPr>
                <w:rFonts w:cs="Calibri" w:ascii="Roboto" w:hAnsi="Roboto" w:cstheme="minorHAnsi"/>
                <w:bCs/>
                <w:kern w:val="0"/>
                <w:sz w:val="16"/>
                <w:szCs w:val="16"/>
                <w:lang w:val="de-DE" w:bidi="ar-SA"/>
              </w:rPr>
              <w:t>§ 39 Abs. 2 Satz 1 SächsHSG</w:t>
            </w:r>
          </w:p>
        </w:tc>
        <w:tc>
          <w:tcPr>
            <w:tcW w:w="1134" w:type="dxa"/>
            <w:tcBorders/>
          </w:tcPr>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 3 SO</w:t>
            </w:r>
            <w:r>
              <w:rPr>
                <w:rStyle w:val="FootnoteReference"/>
                <w:rFonts w:ascii="Roboto" w:hAnsi="Roboto"/>
                <w:kern w:val="0"/>
                <w:sz w:val="16"/>
                <w:szCs w:val="16"/>
                <w:lang w:val="de-DE" w:bidi="ar-SA"/>
              </w:rPr>
              <w:footnoteReference w:id="5"/>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898355582"/>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908106116"/>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202165863"/>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501942997"/>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2</w:t>
            </w:r>
          </w:p>
        </w:tc>
        <w:tc>
          <w:tcPr>
            <w:tcW w:w="3208" w:type="dxa"/>
            <w:tcBorders/>
          </w:tcPr>
          <w:p>
            <w:pPr>
              <w:pStyle w:val="Normal"/>
              <w:widowControl/>
              <w:suppressAutoHyphens w:val="true"/>
              <w:spacing w:before="0" w:after="0"/>
              <w:jc w:val="start"/>
              <w:rPr>
                <w:rFonts w:ascii="Roboto" w:hAnsi="Roboto" w:cs="Calibri" w:cstheme="minorHAnsi"/>
                <w:color w:val="000000"/>
              </w:rPr>
            </w:pPr>
            <w:r>
              <w:rPr>
                <w:rFonts w:cs="Calibri" w:ascii="Roboto" w:hAnsi="Roboto" w:cstheme="minorHAnsi"/>
                <w:color w:val="000000"/>
                <w:kern w:val="0"/>
                <w:sz w:val="20"/>
                <w:szCs w:val="20"/>
                <w:lang w:val="de-DE" w:bidi="ar-SA"/>
              </w:rPr>
              <w:t>Der weiterbildende Masterstudiengang dauert im Vollzeitstudium mind. zwei und max. vier Semester und mind. ein Jahr</w:t>
            </w:r>
            <w:r>
              <w:rPr>
                <w:rFonts w:ascii="Roboto" w:hAnsi="Roboto"/>
                <w:kern w:val="0"/>
                <w:sz w:val="20"/>
                <w:szCs w:val="20"/>
                <w:lang w:val="de-DE" w:bidi="ar-SA"/>
              </w:rPr>
              <w:t xml:space="preserve">. </w:t>
            </w:r>
          </w:p>
        </w:tc>
        <w:tc>
          <w:tcPr>
            <w:tcW w:w="1842" w:type="dxa"/>
            <w:tcBorders/>
          </w:tcPr>
          <w:p>
            <w:pPr>
              <w:pStyle w:val="Normal"/>
              <w:widowControl/>
              <w:suppressAutoHyphens w:val="true"/>
              <w:spacing w:before="0" w:after="0"/>
              <w:jc w:val="start"/>
              <w:rPr>
                <w:kern w:val="0"/>
                <w:sz w:val="20"/>
                <w:szCs w:val="20"/>
                <w:highlight w:val="none"/>
                <w:shd w:fill="auto" w:val="clear"/>
                <w:lang w:val="de-DE" w:bidi="ar-SA"/>
              </w:rPr>
            </w:pPr>
            <w:r>
              <w:rPr>
                <w:rFonts w:ascii="Roboto" w:hAnsi="Roboto"/>
                <w:kern w:val="0"/>
                <w:sz w:val="16"/>
                <w:szCs w:val="16"/>
                <w:shd w:fill="auto" w:val="clear"/>
                <w:lang w:val="de-DE" w:bidi="ar-SA"/>
              </w:rPr>
              <w:t xml:space="preserve">§ 3 Abs. 2 Satz 1 in Verb. mit § 4Abs. 2 Satz 3 SächsStudAkkVO </w:t>
            </w:r>
          </w:p>
          <w:p>
            <w:pPr>
              <w:pStyle w:val="Normal"/>
              <w:widowControl/>
              <w:suppressAutoHyphens w:val="true"/>
              <w:spacing w:before="0" w:after="0"/>
              <w:jc w:val="start"/>
              <w:rPr>
                <w:kern w:val="0"/>
                <w:sz w:val="20"/>
                <w:szCs w:val="20"/>
                <w:highlight w:val="none"/>
                <w:shd w:fill="auto" w:val="clear"/>
                <w:lang w:val="de-DE" w:bidi="ar-SA"/>
              </w:rPr>
            </w:pPr>
            <w:r>
              <w:rPr>
                <w:rFonts w:ascii="Roboto" w:hAnsi="Roboto"/>
                <w:kern w:val="0"/>
                <w:sz w:val="16"/>
                <w:szCs w:val="16"/>
                <w:shd w:fill="auto" w:val="clear"/>
                <w:lang w:val="de-DE" w:bidi="ar-SA"/>
              </w:rPr>
              <w:t>§ 34 Abs. 2 Satz 4 SächsHSG</w:t>
            </w:r>
          </w:p>
        </w:tc>
        <w:tc>
          <w:tcPr>
            <w:tcW w:w="1134" w:type="dxa"/>
            <w:tcBorders/>
          </w:tcPr>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1.2 SGK</w:t>
            </w:r>
            <w:r>
              <w:rPr>
                <w:rStyle w:val="FootnoteReference"/>
                <w:rFonts w:ascii="Roboto" w:hAnsi="Roboto"/>
                <w:kern w:val="0"/>
                <w:sz w:val="16"/>
                <w:szCs w:val="16"/>
                <w:lang w:val="de-DE" w:bidi="ar-SA"/>
              </w:rPr>
              <w:footnoteReference w:id="6"/>
            </w:r>
          </w:p>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 2 Abs. 2 Satz 1 SO</w:t>
            </w:r>
          </w:p>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 1 PO</w:t>
            </w:r>
            <w:r>
              <w:rPr>
                <w:rStyle w:val="FootnoteReference"/>
                <w:rFonts w:ascii="Roboto" w:hAnsi="Roboto"/>
                <w:kern w:val="0"/>
                <w:sz w:val="16"/>
                <w:szCs w:val="16"/>
                <w:lang w:val="de-DE" w:bidi="ar-SA"/>
              </w:rPr>
              <w:footnoteReference w:id="7"/>
            </w:r>
            <w:r>
              <w:rPr>
                <w:rFonts w:ascii="Roboto" w:hAnsi="Roboto"/>
                <w:kern w:val="0"/>
                <w:sz w:val="16"/>
                <w:szCs w:val="16"/>
                <w:lang w:val="de-DE" w:bidi="ar-SA"/>
              </w:rPr>
              <w:t xml:space="preserve"> </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1574464766"/>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485075388"/>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1075274855"/>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894416520"/>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3</w:t>
            </w:r>
          </w:p>
        </w:tc>
        <w:tc>
          <w:tcPr>
            <w:tcW w:w="3208" w:type="dxa"/>
            <w:tcBorders/>
          </w:tcPr>
          <w:p>
            <w:pPr>
              <w:pStyle w:val="Normal"/>
              <w:widowControl/>
              <w:suppressAutoHyphens w:val="true"/>
              <w:spacing w:before="0" w:after="0"/>
              <w:jc w:val="start"/>
              <w:rPr>
                <w:rFonts w:ascii="Roboto" w:hAnsi="Roboto" w:cs="Calibri" w:cstheme="minorHAnsi"/>
                <w:color w:val="000000"/>
              </w:rPr>
            </w:pPr>
            <w:r>
              <w:rPr>
                <w:kern w:val="0"/>
                <w:sz w:val="20"/>
                <w:szCs w:val="20"/>
                <w:lang w:val="de-DE" w:bidi="ar-SA"/>
              </w:rPr>
              <w:t xml:space="preserve">Für den Masterabschluss sind unter Einbeziehung des vorangehenden Studiums 300 ECTS-LP nachzuweisen. </w:t>
            </w:r>
          </w:p>
        </w:tc>
        <w:tc>
          <w:tcPr>
            <w:tcW w:w="1842" w:type="dxa"/>
            <w:tcBorders/>
          </w:tcPr>
          <w:p>
            <w:pPr>
              <w:pStyle w:val="Normal"/>
              <w:widowControl/>
              <w:suppressAutoHyphens w:val="true"/>
              <w:spacing w:before="0" w:after="0"/>
              <w:jc w:val="start"/>
              <w:rPr>
                <w:kern w:val="0"/>
                <w:sz w:val="20"/>
                <w:szCs w:val="20"/>
                <w:highlight w:val="none"/>
                <w:shd w:fill="auto" w:val="clear"/>
                <w:lang w:val="de-DE" w:bidi="ar-SA"/>
              </w:rPr>
            </w:pPr>
            <w:r>
              <w:rPr>
                <w:rFonts w:cs="Calibri" w:ascii="Roboto" w:hAnsi="Roboto" w:cstheme="minorHAnsi"/>
                <w:kern w:val="0"/>
                <w:sz w:val="16"/>
                <w:szCs w:val="16"/>
                <w:shd w:fill="auto" w:val="clear"/>
                <w:lang w:val="de-DE" w:bidi="ar-SA"/>
              </w:rPr>
              <w:t>§ 8 Abs. 2 Satz 2 SächsStudAkkVO</w:t>
            </w:r>
          </w:p>
        </w:tc>
        <w:tc>
          <w:tcPr>
            <w:tcW w:w="1134"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1.2 SGK</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 2 Abs. 2 Satz 2 und 3 SO </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 24 Abs. 2 PO </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181201120"/>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864161433"/>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2011136242"/>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776165704"/>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620" w:type="dxa"/>
            <w:tcBorders/>
            <w:shd w:color="auto" w:fill="auto" w:val="clear"/>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4</w:t>
            </w:r>
          </w:p>
        </w:tc>
        <w:tc>
          <w:tcPr>
            <w:tcW w:w="3208" w:type="dxa"/>
            <w:tcBorders/>
            <w:shd w:color="auto" w:fill="auto" w:val="clear"/>
          </w:tcPr>
          <w:p>
            <w:pPr>
              <w:pStyle w:val="Normal"/>
              <w:widowControl/>
              <w:suppressAutoHyphens w:val="true"/>
              <w:spacing w:before="0" w:after="0"/>
              <w:jc w:val="start"/>
              <w:rPr>
                <w:rFonts w:ascii="Roboto" w:hAnsi="Roboto"/>
              </w:rPr>
            </w:pPr>
            <w:r>
              <w:rPr>
                <w:rFonts w:ascii="Roboto" w:hAnsi="Roboto"/>
                <w:kern w:val="0"/>
                <w:sz w:val="20"/>
                <w:szCs w:val="20"/>
                <w:lang w:val="de-DE" w:bidi="ar-SA"/>
              </w:rPr>
              <w:t xml:space="preserve">Der Masterabschluss stellt einen weiteren berufsqualifizierenden Abschluss dar. </w:t>
            </w:r>
          </w:p>
        </w:tc>
        <w:tc>
          <w:tcPr>
            <w:tcW w:w="1842" w:type="dxa"/>
            <w:tcBorders/>
            <w:shd w:color="auto" w:fill="auto" w:val="clear"/>
          </w:tcPr>
          <w:p>
            <w:pPr>
              <w:pStyle w:val="Normal"/>
              <w:widowControl/>
              <w:suppressAutoHyphens w:val="true"/>
              <w:spacing w:before="0" w:after="0"/>
              <w:jc w:val="start"/>
              <w:rPr>
                <w:kern w:val="0"/>
                <w:sz w:val="20"/>
                <w:szCs w:val="20"/>
                <w:highlight w:val="none"/>
                <w:shd w:fill="auto" w:val="clear"/>
                <w:lang w:val="de-DE" w:bidi="ar-SA"/>
              </w:rPr>
            </w:pPr>
            <w:r>
              <w:rPr>
                <w:rFonts w:ascii="Roboto" w:hAnsi="Roboto"/>
                <w:kern w:val="0"/>
                <w:sz w:val="16"/>
                <w:szCs w:val="16"/>
                <w:shd w:fill="auto" w:val="clear"/>
                <w:lang w:val="de-DE" w:bidi="ar-SA"/>
              </w:rPr>
              <w:t xml:space="preserve">§ 3 Abs. 1 Satz 1 </w:t>
            </w:r>
            <w:r>
              <w:rPr>
                <w:rFonts w:cs="Calibri" w:ascii="Roboto" w:hAnsi="Roboto" w:cstheme="minorHAnsi"/>
                <w:bCs/>
                <w:kern w:val="0"/>
                <w:sz w:val="16"/>
                <w:szCs w:val="16"/>
                <w:shd w:fill="auto" w:val="clear"/>
                <w:lang w:val="de-DE" w:bidi="ar-SA"/>
              </w:rPr>
              <w:t>SächsStudAkkVO</w:t>
            </w:r>
          </w:p>
          <w:p>
            <w:pPr>
              <w:pStyle w:val="Normal"/>
              <w:widowControl/>
              <w:suppressAutoHyphens w:val="true"/>
              <w:spacing w:before="0" w:after="0"/>
              <w:jc w:val="start"/>
              <w:rPr>
                <w:kern w:val="0"/>
                <w:sz w:val="20"/>
                <w:szCs w:val="20"/>
                <w:highlight w:val="none"/>
                <w:shd w:fill="auto" w:val="clear"/>
                <w:lang w:val="de-DE" w:bidi="ar-SA"/>
              </w:rPr>
            </w:pPr>
            <w:r>
              <w:rPr>
                <w:rFonts w:cs="Calibri" w:ascii="Roboto" w:hAnsi="Roboto" w:cstheme="minorHAnsi"/>
                <w:bCs/>
                <w:kern w:val="0"/>
                <w:sz w:val="16"/>
                <w:szCs w:val="16"/>
                <w:shd w:fill="auto" w:val="clear"/>
                <w:lang w:val="de-DE" w:bidi="ar-SA"/>
              </w:rPr>
              <w:t xml:space="preserve">§ 39 Abs. 2 Satz 1 </w:t>
            </w:r>
            <w:r>
              <w:rPr>
                <w:rFonts w:ascii="Roboto" w:hAnsi="Roboto"/>
                <w:kern w:val="0"/>
                <w:sz w:val="16"/>
                <w:szCs w:val="16"/>
                <w:shd w:fill="auto" w:val="clear"/>
                <w:lang w:val="de-DE" w:bidi="ar-SA"/>
              </w:rPr>
              <w:t>SächsHSG</w:t>
            </w:r>
          </w:p>
        </w:tc>
        <w:tc>
          <w:tcPr>
            <w:tcW w:w="1134" w:type="dxa"/>
            <w:tcBorders/>
            <w:shd w:color="auto" w:fill="auto" w:val="clear"/>
          </w:tcPr>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 xml:space="preserve">2.2.2 SGK </w:t>
            </w:r>
          </w:p>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 xml:space="preserve">§ 18 Abs. 1 Satz 1 PO </w:t>
            </w:r>
          </w:p>
        </w:tc>
        <w:tc>
          <w:tcPr>
            <w:tcW w:w="1560" w:type="dxa"/>
            <w:tcBorders/>
            <w:shd w:color="auto" w:fill="auto" w:val="clear"/>
          </w:tcPr>
          <w:p>
            <w:pPr>
              <w:pStyle w:val="Normal"/>
              <w:widowControl/>
              <w:tabs>
                <w:tab w:val="clear" w:pos="708"/>
                <w:tab w:val="left" w:pos="3600" w:leader="none"/>
              </w:tabs>
              <w:suppressAutoHyphens w:val="true"/>
              <w:spacing w:before="0" w:after="0"/>
              <w:jc w:val="start"/>
              <w:rPr>
                <w:rFonts w:ascii="Roboto" w:hAnsi="Roboto"/>
              </w:rPr>
            </w:pPr>
            <w:sdt>
              <w:sdtPr>
                <w:id w:val="217634174"/>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679802144"/>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c>
          <w:tcPr>
            <w:tcW w:w="1559" w:type="dxa"/>
            <w:tcBorders/>
            <w:shd w:color="auto" w:fill="auto" w:val="clear"/>
          </w:tcPr>
          <w:p>
            <w:pPr>
              <w:pStyle w:val="Normal"/>
              <w:widowControl/>
              <w:tabs>
                <w:tab w:val="clear" w:pos="708"/>
                <w:tab w:val="left" w:pos="3600" w:leader="none"/>
              </w:tabs>
              <w:suppressAutoHyphens w:val="true"/>
              <w:spacing w:before="0" w:after="0"/>
              <w:jc w:val="start"/>
              <w:rPr>
                <w:rFonts w:ascii="Roboto" w:hAnsi="Roboto"/>
              </w:rPr>
            </w:pPr>
            <w:sdt>
              <w:sdtPr>
                <w:id w:val="184031391"/>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839696522"/>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620" w:type="dxa"/>
            <w:tcBorders/>
            <w:shd w:color="auto" w:fill="auto" w:val="clear"/>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5</w:t>
            </w:r>
          </w:p>
        </w:tc>
        <w:tc>
          <w:tcPr>
            <w:tcW w:w="3208" w:type="dxa"/>
            <w:tcBorders/>
            <w:shd w:color="auto" w:fill="auto" w:val="clear"/>
          </w:tcPr>
          <w:p>
            <w:pPr>
              <w:pStyle w:val="Normal"/>
              <w:widowControl/>
              <w:suppressAutoHyphens w:val="true"/>
              <w:spacing w:before="0" w:after="0"/>
              <w:jc w:val="start"/>
              <w:rPr>
                <w:rFonts w:ascii="Roboto" w:hAnsi="Roboto"/>
              </w:rPr>
            </w:pPr>
            <w:r>
              <w:rPr>
                <w:rFonts w:cs="Calibri" w:ascii="Roboto" w:hAnsi="Roboto" w:cstheme="minorHAnsi"/>
                <w:color w:val="000000"/>
                <w:kern w:val="0"/>
                <w:sz w:val="20"/>
                <w:szCs w:val="20"/>
                <w:lang w:val="de-DE" w:bidi="ar-SA"/>
              </w:rPr>
              <w:t xml:space="preserve">Es wird nur ein Grad verliehen. </w:t>
            </w:r>
          </w:p>
        </w:tc>
        <w:tc>
          <w:tcPr>
            <w:tcW w:w="1842" w:type="dxa"/>
            <w:tcBorders/>
            <w:shd w:color="auto" w:fill="auto" w:val="clear"/>
          </w:tcPr>
          <w:p>
            <w:pPr>
              <w:pStyle w:val="Normal"/>
              <w:widowControl/>
              <w:suppressAutoHyphens w:val="true"/>
              <w:spacing w:before="0" w:after="0"/>
              <w:jc w:val="start"/>
              <w:rPr>
                <w:kern w:val="0"/>
                <w:sz w:val="20"/>
                <w:szCs w:val="20"/>
                <w:highlight w:val="none"/>
                <w:shd w:fill="auto" w:val="clear"/>
                <w:lang w:val="de-DE" w:bidi="ar-SA"/>
              </w:rPr>
            </w:pPr>
            <w:r>
              <w:rPr>
                <w:rFonts w:ascii="Roboto" w:hAnsi="Roboto"/>
                <w:kern w:val="0"/>
                <w:sz w:val="16"/>
                <w:szCs w:val="16"/>
                <w:shd w:fill="auto" w:val="clear"/>
                <w:lang w:val="de-DE" w:bidi="ar-SA"/>
              </w:rPr>
              <w:t xml:space="preserve">§ 6 Abs. 1 Satz 1 </w:t>
            </w:r>
            <w:r>
              <w:rPr>
                <w:rFonts w:cs="Calibri" w:ascii="Roboto" w:hAnsi="Roboto" w:cstheme="minorHAnsi"/>
                <w:bCs/>
                <w:kern w:val="0"/>
                <w:sz w:val="16"/>
                <w:szCs w:val="16"/>
                <w:shd w:fill="auto" w:val="clear"/>
                <w:lang w:val="de-DE" w:bidi="ar-SA"/>
              </w:rPr>
              <w:t>SächsStudAkkVO</w:t>
            </w:r>
          </w:p>
          <w:p>
            <w:pPr>
              <w:pStyle w:val="Normal"/>
              <w:widowControl/>
              <w:suppressAutoHyphens w:val="true"/>
              <w:spacing w:before="0" w:after="0"/>
              <w:jc w:val="start"/>
              <w:rPr>
                <w:kern w:val="0"/>
                <w:sz w:val="20"/>
                <w:szCs w:val="20"/>
                <w:highlight w:val="none"/>
                <w:shd w:fill="auto" w:val="clear"/>
                <w:lang w:val="de-DE" w:bidi="ar-SA"/>
              </w:rPr>
            </w:pPr>
            <w:r>
              <w:rPr>
                <w:rFonts w:ascii="Roboto" w:hAnsi="Roboto"/>
                <w:kern w:val="0"/>
                <w:sz w:val="16"/>
                <w:szCs w:val="16"/>
                <w:shd w:fill="auto" w:val="clear"/>
                <w:lang w:val="de-DE" w:bidi="ar-SA"/>
              </w:rPr>
              <w:t>§ 40 Abs. 1 SächsHSG</w:t>
            </w:r>
          </w:p>
        </w:tc>
        <w:tc>
          <w:tcPr>
            <w:tcW w:w="1134" w:type="dxa"/>
            <w:tcBorders/>
            <w:shd w:color="auto" w:fill="auto" w:val="clear"/>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Deckblatt SGK</w:t>
            </w:r>
          </w:p>
          <w:p>
            <w:pPr>
              <w:pStyle w:val="Normal"/>
              <w:widowControl/>
              <w:suppressAutoHyphens w:val="true"/>
              <w:spacing w:before="0" w:after="0"/>
              <w:jc w:val="start"/>
              <w:rPr>
                <w:rFonts w:ascii="Roboto" w:hAnsi="Roboto"/>
                <w:sz w:val="16"/>
                <w:szCs w:val="16"/>
              </w:rPr>
            </w:pPr>
            <w:r>
              <w:rPr>
                <w:rFonts w:cs="Calibri" w:ascii="Roboto" w:hAnsi="Roboto" w:cstheme="minorHAnsi"/>
                <w:kern w:val="0"/>
                <w:sz w:val="16"/>
                <w:szCs w:val="16"/>
                <w:lang w:val="de-DE" w:bidi="ar-SA"/>
              </w:rPr>
              <w:t xml:space="preserve">§ 27 PO </w:t>
            </w:r>
          </w:p>
        </w:tc>
        <w:tc>
          <w:tcPr>
            <w:tcW w:w="1560" w:type="dxa"/>
            <w:tcBorders/>
            <w:shd w:color="auto" w:fill="auto" w:val="clear"/>
          </w:tcPr>
          <w:p>
            <w:pPr>
              <w:pStyle w:val="Normal"/>
              <w:widowControl/>
              <w:tabs>
                <w:tab w:val="clear" w:pos="708"/>
                <w:tab w:val="left" w:pos="3600" w:leader="none"/>
              </w:tabs>
              <w:suppressAutoHyphens w:val="true"/>
              <w:spacing w:before="0" w:after="0"/>
              <w:jc w:val="start"/>
              <w:rPr>
                <w:rFonts w:ascii="Roboto" w:hAnsi="Roboto"/>
              </w:rPr>
            </w:pPr>
            <w:sdt>
              <w:sdtPr>
                <w:id w:val="-517697450"/>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2083988006"/>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c>
          <w:tcPr>
            <w:tcW w:w="1559" w:type="dxa"/>
            <w:tcBorders/>
            <w:shd w:color="auto" w:fill="auto" w:val="clear"/>
          </w:tcPr>
          <w:p>
            <w:pPr>
              <w:pStyle w:val="Normal"/>
              <w:widowControl/>
              <w:tabs>
                <w:tab w:val="clear" w:pos="708"/>
                <w:tab w:val="left" w:pos="3600" w:leader="none"/>
              </w:tabs>
              <w:suppressAutoHyphens w:val="true"/>
              <w:spacing w:before="0" w:after="0"/>
              <w:jc w:val="start"/>
              <w:rPr>
                <w:rFonts w:ascii="Roboto" w:hAnsi="Roboto"/>
              </w:rPr>
            </w:pPr>
            <w:sdt>
              <w:sdtPr>
                <w:id w:val="769747060"/>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2064048529"/>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6</w:t>
            </w:r>
          </w:p>
        </w:tc>
        <w:tc>
          <w:tcPr>
            <w:tcW w:w="3208" w:type="dxa"/>
            <w:tcBorders/>
          </w:tcPr>
          <w:p>
            <w:pPr>
              <w:pStyle w:val="Normal"/>
              <w:widowControl/>
              <w:suppressAutoHyphens w:val="true"/>
              <w:spacing w:before="0" w:after="0"/>
              <w:jc w:val="start"/>
              <w:rPr>
                <w:rFonts w:ascii="Roboto" w:hAnsi="Roboto"/>
              </w:rPr>
            </w:pPr>
            <w:r>
              <w:rPr>
                <w:rFonts w:cs="Calibri" w:ascii="Roboto" w:hAnsi="Roboto" w:cstheme="minorHAnsi"/>
                <w:color w:val="000000"/>
                <w:kern w:val="0"/>
                <w:sz w:val="20"/>
                <w:szCs w:val="20"/>
                <w:lang w:val="de-DE" w:bidi="ar-SA"/>
              </w:rPr>
              <w:t>Mit der Abschlussarbeit wird die Fähigkeit nachgewiesen, ein Problem aus dem jeweiligen Fach selbständig nach wissenschaftlichen Methoden zu bearbeiten.</w:t>
            </w:r>
          </w:p>
        </w:tc>
        <w:tc>
          <w:tcPr>
            <w:tcW w:w="1842" w:type="dxa"/>
            <w:tcBorders/>
          </w:tcPr>
          <w:p>
            <w:pPr>
              <w:pStyle w:val="Normal"/>
              <w:widowControl/>
              <w:suppressAutoHyphens w:val="true"/>
              <w:spacing w:before="0" w:after="0"/>
              <w:jc w:val="start"/>
              <w:rPr>
                <w:kern w:val="0"/>
                <w:sz w:val="20"/>
                <w:szCs w:val="20"/>
                <w:highlight w:val="none"/>
                <w:shd w:fill="auto" w:val="clear"/>
                <w:lang w:val="de-DE" w:bidi="ar-SA"/>
              </w:rPr>
            </w:pPr>
            <w:r>
              <w:rPr>
                <w:rFonts w:ascii="Roboto" w:hAnsi="Roboto"/>
                <w:kern w:val="0"/>
                <w:sz w:val="16"/>
                <w:szCs w:val="16"/>
                <w:shd w:fill="auto" w:val="clear"/>
                <w:lang w:val="de-DE" w:bidi="ar-SA"/>
              </w:rPr>
              <w:t>§ 4 Abs. 3 SächsStudAkkVO</w:t>
            </w:r>
          </w:p>
        </w:tc>
        <w:tc>
          <w:tcPr>
            <w:tcW w:w="1134" w:type="dxa"/>
            <w:tcBorders/>
          </w:tcPr>
          <w:p>
            <w:pPr>
              <w:pStyle w:val="Normal"/>
              <w:widowControl/>
              <w:suppressAutoHyphens w:val="true"/>
              <w:spacing w:before="0" w:after="0"/>
              <w:jc w:val="start"/>
              <w:rPr>
                <w:rFonts w:ascii="Roboto" w:hAnsi="Roboto" w:cs="Calibri" w:cstheme="minorHAnsi"/>
                <w:bCs/>
                <w:sz w:val="16"/>
                <w:szCs w:val="16"/>
              </w:rPr>
            </w:pPr>
            <w:r>
              <w:rPr>
                <w:rFonts w:cs="Calibri" w:ascii="Roboto" w:hAnsi="Roboto" w:cstheme="minorHAnsi"/>
                <w:bCs/>
                <w:kern w:val="0"/>
                <w:sz w:val="16"/>
                <w:szCs w:val="16"/>
                <w:lang w:val="de-DE" w:bidi="ar-SA"/>
              </w:rPr>
              <w:t xml:space="preserve">§ 18 Satz 2 und § 19 Abs. 1 PO </w:t>
            </w:r>
          </w:p>
          <w:p>
            <w:pPr>
              <w:pStyle w:val="Normal"/>
              <w:widowControl/>
              <w:suppressAutoHyphens w:val="true"/>
              <w:spacing w:before="0" w:after="0"/>
              <w:jc w:val="start"/>
              <w:rPr>
                <w:rFonts w:ascii="Roboto" w:hAnsi="Roboto"/>
                <w:sz w:val="16"/>
                <w:szCs w:val="16"/>
              </w:rPr>
            </w:pPr>
            <w:r>
              <w:rPr>
                <w:rFonts w:cs="Calibri" w:ascii="Roboto" w:hAnsi="Roboto" w:cstheme="minorHAnsi"/>
                <w:bCs/>
                <w:kern w:val="0"/>
                <w:sz w:val="16"/>
                <w:szCs w:val="16"/>
                <w:lang w:val="de-DE" w:bidi="ar-SA"/>
              </w:rPr>
              <w:t>MB</w:t>
            </w:r>
            <w:r>
              <w:rPr>
                <w:rStyle w:val="FootnoteReference"/>
                <w:rFonts w:cs="Calibri" w:ascii="Roboto" w:hAnsi="Roboto" w:cstheme="minorHAnsi"/>
                <w:bCs/>
                <w:kern w:val="0"/>
                <w:sz w:val="16"/>
                <w:szCs w:val="16"/>
                <w:lang w:val="de-DE" w:bidi="ar-SA"/>
              </w:rPr>
              <w:footnoteReference w:id="8"/>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84311265"/>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771232519"/>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erfüllt</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1724053177"/>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700014271"/>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7</w:t>
            </w:r>
          </w:p>
        </w:tc>
        <w:tc>
          <w:tcPr>
            <w:tcW w:w="3208" w:type="dxa"/>
            <w:tcBorders/>
          </w:tcPr>
          <w:p>
            <w:pPr>
              <w:pStyle w:val="Normal"/>
              <w:widowControl/>
              <w:suppressAutoHyphens w:val="true"/>
              <w:spacing w:before="0" w:after="0"/>
              <w:jc w:val="start"/>
              <w:rPr>
                <w:rFonts w:ascii="Roboto" w:hAnsi="Roboto"/>
              </w:rPr>
            </w:pPr>
            <w:r>
              <w:rPr>
                <w:rFonts w:cs="Calibri" w:ascii="Roboto" w:hAnsi="Roboto" w:cstheme="minorHAnsi"/>
                <w:color w:val="000000"/>
                <w:kern w:val="0"/>
                <w:sz w:val="20"/>
                <w:szCs w:val="20"/>
                <w:lang w:val="de-DE" w:bidi="ar-SA"/>
              </w:rPr>
              <w:t xml:space="preserve">Die Masterarbeit umfasst mind. 15, max. 30 </w:t>
            </w:r>
            <w:r>
              <w:rPr>
                <w:rFonts w:ascii="Roboto" w:hAnsi="Roboto"/>
                <w:kern w:val="0"/>
                <w:sz w:val="20"/>
                <w:szCs w:val="20"/>
                <w:lang w:val="de-DE" w:bidi="ar-SA"/>
              </w:rPr>
              <w:t>ECTS-</w:t>
            </w:r>
            <w:r>
              <w:rPr>
                <w:rFonts w:cs="Calibri" w:ascii="Roboto" w:hAnsi="Roboto" w:cstheme="minorHAnsi"/>
                <w:color w:val="000000"/>
                <w:kern w:val="0"/>
                <w:sz w:val="20"/>
                <w:szCs w:val="20"/>
                <w:lang w:val="de-DE" w:bidi="ar-SA"/>
              </w:rPr>
              <w:t>LP</w:t>
            </w:r>
            <w:r>
              <w:rPr>
                <w:rFonts w:ascii="Roboto" w:hAnsi="Roboto"/>
                <w:kern w:val="0"/>
                <w:sz w:val="20"/>
                <w:szCs w:val="20"/>
                <w:lang w:val="de-DE" w:bidi="ar-SA"/>
              </w:rPr>
              <w:t xml:space="preserve">. </w:t>
            </w:r>
          </w:p>
        </w:tc>
        <w:tc>
          <w:tcPr>
            <w:tcW w:w="1842" w:type="dxa"/>
            <w:tcBorders/>
          </w:tcPr>
          <w:p>
            <w:pPr>
              <w:pStyle w:val="Normal"/>
              <w:widowControl/>
              <w:suppressAutoHyphens w:val="true"/>
              <w:spacing w:before="0" w:after="0"/>
              <w:jc w:val="start"/>
              <w:rPr>
                <w:kern w:val="0"/>
                <w:sz w:val="20"/>
                <w:szCs w:val="20"/>
                <w:highlight w:val="none"/>
                <w:shd w:fill="auto" w:val="clear"/>
                <w:lang w:val="de-DE" w:bidi="ar-SA"/>
              </w:rPr>
            </w:pPr>
            <w:r>
              <w:rPr>
                <w:rFonts w:ascii="Roboto" w:hAnsi="Roboto"/>
                <w:kern w:val="0"/>
                <w:sz w:val="16"/>
                <w:szCs w:val="16"/>
                <w:shd w:fill="auto" w:val="clear"/>
                <w:lang w:val="de-DE" w:bidi="ar-SA"/>
              </w:rPr>
              <w:t>§ 8 Abs. 3 Satz 1 SächsStudAkkVO</w:t>
            </w:r>
          </w:p>
        </w:tc>
        <w:tc>
          <w:tcPr>
            <w:tcW w:w="1134"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 6 Abs. 1 SO </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 25 Abs. 1 PO </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753864327"/>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965036191"/>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erfüllt</w:t>
            </w:r>
            <w:r>
              <w:rPr>
                <w:rFonts w:cs="Calibri" w:ascii="Roboto" w:hAnsi="Roboto" w:cstheme="minorHAnsi"/>
                <w:kern w:val="0"/>
                <w:sz w:val="20"/>
                <w:szCs w:val="20"/>
                <w:lang w:val="de-DE" w:bidi="ar-SA"/>
              </w:rPr>
              <w:t>*</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122737897"/>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330333337"/>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8</w:t>
            </w:r>
          </w:p>
        </w:tc>
        <w:tc>
          <w:tcPr>
            <w:tcW w:w="3208" w:type="dxa"/>
            <w:tcBorders/>
          </w:tcPr>
          <w:p>
            <w:pPr>
              <w:pStyle w:val="Normal"/>
              <w:widowControl/>
              <w:suppressAutoHyphens w:val="true"/>
              <w:spacing w:before="0" w:after="0"/>
              <w:jc w:val="start"/>
              <w:rPr>
                <w:rFonts w:ascii="Roboto" w:hAnsi="Roboto"/>
              </w:rPr>
            </w:pPr>
            <w:r>
              <w:rPr>
                <w:rFonts w:ascii="Roboto" w:hAnsi="Roboto"/>
                <w:kern w:val="0"/>
                <w:sz w:val="20"/>
                <w:szCs w:val="20"/>
                <w:lang w:val="de-DE" w:bidi="ar-SA"/>
              </w:rPr>
              <w:t>Ein Diploma Supplement ist Bestandteil des Abschlusszeugnisses. Es enthält Einzelheiten über das dem Abschluss zugrunde liegende Studium.</w:t>
            </w:r>
          </w:p>
        </w:tc>
        <w:tc>
          <w:tcPr>
            <w:tcW w:w="1842" w:type="dxa"/>
            <w:tcBorders/>
          </w:tcPr>
          <w:p>
            <w:pPr>
              <w:pStyle w:val="Normal"/>
              <w:widowControl/>
              <w:suppressAutoHyphens w:val="true"/>
              <w:spacing w:before="0" w:after="0"/>
              <w:jc w:val="start"/>
              <w:rPr>
                <w:kern w:val="0"/>
                <w:sz w:val="20"/>
                <w:szCs w:val="20"/>
                <w:highlight w:val="none"/>
                <w:shd w:fill="auto" w:val="clear"/>
                <w:lang w:val="de-DE" w:bidi="ar-SA"/>
              </w:rPr>
            </w:pPr>
            <w:r>
              <w:rPr>
                <w:rFonts w:ascii="Roboto" w:hAnsi="Roboto"/>
                <w:kern w:val="0"/>
                <w:sz w:val="16"/>
                <w:szCs w:val="16"/>
                <w:shd w:fill="auto" w:val="clear"/>
                <w:lang w:val="de-DE" w:bidi="ar-SA"/>
              </w:rPr>
              <w:t>§ 6 Abs. 4 SächsStudAkkVO</w:t>
            </w:r>
          </w:p>
          <w:p>
            <w:pPr>
              <w:pStyle w:val="Normal"/>
              <w:widowControl/>
              <w:suppressAutoHyphens w:val="true"/>
              <w:spacing w:before="0" w:after="0"/>
              <w:jc w:val="start"/>
              <w:rPr>
                <w:kern w:val="0"/>
                <w:sz w:val="20"/>
                <w:szCs w:val="20"/>
                <w:highlight w:val="none"/>
                <w:shd w:fill="auto" w:val="clear"/>
                <w:lang w:val="de-DE" w:bidi="ar-SA"/>
              </w:rPr>
            </w:pPr>
            <w:r>
              <w:rPr>
                <w:rFonts w:ascii="Roboto" w:hAnsi="Roboto"/>
                <w:kern w:val="0"/>
                <w:sz w:val="16"/>
                <w:szCs w:val="16"/>
                <w:shd w:fill="auto" w:val="clear"/>
                <w:lang w:val="de-DE" w:bidi="ar-SA"/>
              </w:rPr>
              <w:t>§ 35 Abs. 1 Satz 2 Nr. 16 SächsHSG</w:t>
            </w:r>
          </w:p>
        </w:tc>
        <w:tc>
          <w:tcPr>
            <w:tcW w:w="1134" w:type="dxa"/>
            <w:tcBorders/>
          </w:tcPr>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 20 Abs. 4 PO</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1591919080"/>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2017269435"/>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1067874048"/>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504567145"/>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8364" w:type="dxa"/>
            <w:gridSpan w:val="5"/>
            <w:tcBorders/>
            <w:shd w:color="auto" w:fill="D9D9D9" w:themeFill="background1" w:themeFillShade="d9" w:val="clear"/>
          </w:tcPr>
          <w:p>
            <w:pPr>
              <w:pStyle w:val="Normal"/>
              <w:widowControl/>
              <w:suppressAutoHyphens w:val="true"/>
              <w:spacing w:before="0" w:after="0"/>
              <w:jc w:val="start"/>
              <w:rPr>
                <w:kern w:val="0"/>
                <w:sz w:val="20"/>
                <w:szCs w:val="20"/>
                <w:highlight w:val="none"/>
                <w:shd w:fill="auto" w:val="clear"/>
                <w:lang w:val="de-DE" w:bidi="ar-SA"/>
              </w:rPr>
            </w:pPr>
            <w:r>
              <w:rPr>
                <w:rFonts w:cs="Calibri" w:ascii="Roboto" w:hAnsi="Roboto" w:cstheme="minorHAnsi"/>
                <w:b/>
                <w:kern w:val="0"/>
                <w:sz w:val="20"/>
                <w:szCs w:val="20"/>
                <w:shd w:fill="auto" w:val="clear"/>
                <w:lang w:val="de-DE" w:bidi="ar-SA"/>
              </w:rPr>
              <w:t xml:space="preserve">Modularisierung und Leistungspunkte </w:t>
            </w:r>
          </w:p>
        </w:tc>
        <w:tc>
          <w:tcPr>
            <w:tcW w:w="1559" w:type="dxa"/>
            <w:tcBorders/>
            <w:shd w:color="auto" w:fill="D9D9D9" w:themeFill="background1" w:themeFillShade="d9" w:val="clear"/>
          </w:tcPr>
          <w:p>
            <w:pPr>
              <w:pStyle w:val="Normal"/>
              <w:widowControl/>
              <w:suppressAutoHyphens w:val="true"/>
              <w:spacing w:before="0" w:after="0"/>
              <w:jc w:val="start"/>
              <w:rPr>
                <w:rFonts w:ascii="Roboto" w:hAnsi="Roboto" w:cs="Calibri" w:cstheme="minorHAnsi"/>
                <w:b/>
              </w:rPr>
            </w:pPr>
            <w:r>
              <w:rPr>
                <w:rFonts w:cs="Calibri" w:cstheme="minorHAnsi" w:ascii="Roboto" w:hAnsi="Roboto"/>
                <w:b/>
                <w:kern w:val="0"/>
                <w:sz w:val="20"/>
                <w:szCs w:val="20"/>
                <w:lang w:val="de-DE" w:bidi="ar-SA"/>
              </w:rPr>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9</w:t>
            </w:r>
          </w:p>
        </w:tc>
        <w:tc>
          <w:tcPr>
            <w:tcW w:w="3208" w:type="dxa"/>
            <w:tcBorders/>
          </w:tcPr>
          <w:p>
            <w:pPr>
              <w:pStyle w:val="Normal"/>
              <w:widowControl/>
              <w:suppressAutoHyphens w:val="true"/>
              <w:spacing w:before="0" w:after="0"/>
              <w:jc w:val="start"/>
              <w:rPr>
                <w:rFonts w:ascii="Roboto" w:hAnsi="Roboto" w:cs="Calibri" w:cstheme="minorHAnsi"/>
                <w:color w:val="000000"/>
              </w:rPr>
            </w:pPr>
            <w:r>
              <w:rPr>
                <w:rFonts w:cs="Calibri" w:ascii="Roboto" w:hAnsi="Roboto" w:cstheme="minorHAnsi"/>
                <w:color w:val="000000"/>
                <w:kern w:val="0"/>
                <w:sz w:val="20"/>
                <w:szCs w:val="20"/>
                <w:lang w:val="de-DE" w:bidi="ar-SA"/>
              </w:rPr>
              <w:t>Die Studieninhalte sind thematisch und zeitlich in Module zusammengefasst</w:t>
            </w:r>
            <w:r>
              <w:rPr>
                <w:rFonts w:ascii="Roboto" w:hAnsi="Roboto"/>
                <w:kern w:val="0"/>
                <w:sz w:val="20"/>
                <w:szCs w:val="20"/>
                <w:lang w:val="de-DE" w:bidi="ar-SA"/>
              </w:rPr>
              <w:t>.</w:t>
            </w:r>
          </w:p>
        </w:tc>
        <w:tc>
          <w:tcPr>
            <w:tcW w:w="1842" w:type="dxa"/>
            <w:tcBorders/>
          </w:tcPr>
          <w:p>
            <w:pPr>
              <w:pStyle w:val="Normal"/>
              <w:widowControl/>
              <w:suppressAutoHyphens w:val="true"/>
              <w:spacing w:before="0" w:after="0"/>
              <w:jc w:val="start"/>
              <w:rPr>
                <w:kern w:val="0"/>
                <w:sz w:val="20"/>
                <w:szCs w:val="20"/>
                <w:highlight w:val="none"/>
                <w:shd w:fill="auto" w:val="clear"/>
                <w:lang w:val="de-DE" w:bidi="ar-SA"/>
              </w:rPr>
            </w:pPr>
            <w:r>
              <w:rPr>
                <w:rFonts w:ascii="Roboto" w:hAnsi="Roboto"/>
                <w:kern w:val="0"/>
                <w:sz w:val="16"/>
                <w:szCs w:val="16"/>
                <w:shd w:fill="auto" w:val="clear"/>
                <w:lang w:val="de-DE" w:bidi="ar-SA"/>
              </w:rPr>
              <w:t>§ 7 Abs. 1 Satz 1 SächsStudAkkVO</w:t>
            </w:r>
          </w:p>
          <w:p>
            <w:pPr>
              <w:pStyle w:val="Normal"/>
              <w:widowControl/>
              <w:suppressAutoHyphens w:val="true"/>
              <w:spacing w:before="0" w:after="0"/>
              <w:jc w:val="start"/>
              <w:rPr>
                <w:kern w:val="0"/>
                <w:sz w:val="20"/>
                <w:szCs w:val="20"/>
                <w:highlight w:val="none"/>
                <w:shd w:fill="auto" w:val="clear"/>
                <w:lang w:val="de-DE" w:bidi="ar-SA"/>
              </w:rPr>
            </w:pPr>
            <w:r>
              <w:rPr>
                <w:rFonts w:ascii="Roboto" w:hAnsi="Roboto"/>
                <w:kern w:val="0"/>
                <w:sz w:val="16"/>
                <w:szCs w:val="16"/>
                <w:shd w:fill="auto" w:val="clear"/>
                <w:lang w:val="de-DE" w:bidi="ar-SA"/>
              </w:rPr>
              <w:t>§ 32 Abs. 5, § 37 Abs. 3 SächsHSG</w:t>
            </w:r>
          </w:p>
        </w:tc>
        <w:tc>
          <w:tcPr>
            <w:tcW w:w="1134"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2.4 SGK</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MB </w:t>
              <w:br/>
              <w:t>SAP</w:t>
            </w:r>
            <w:r>
              <w:rPr>
                <w:rStyle w:val="FootnoteReference"/>
                <w:rFonts w:cs="Calibri" w:ascii="Roboto" w:hAnsi="Roboto" w:cstheme="minorHAnsi"/>
                <w:kern w:val="0"/>
                <w:sz w:val="16"/>
                <w:szCs w:val="16"/>
                <w:lang w:val="de-DE" w:bidi="ar-SA"/>
              </w:rPr>
              <w:footnoteReference w:id="9"/>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598211092"/>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051502883"/>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105700629"/>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975378467"/>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10</w:t>
            </w:r>
          </w:p>
        </w:tc>
        <w:tc>
          <w:tcPr>
            <w:tcW w:w="3208" w:type="dxa"/>
            <w:tcBorders/>
          </w:tcPr>
          <w:p>
            <w:pPr>
              <w:pStyle w:val="Normal"/>
              <w:widowControl/>
              <w:suppressAutoHyphens w:val="true"/>
              <w:spacing w:before="0" w:after="0"/>
              <w:jc w:val="start"/>
              <w:rPr>
                <w:rFonts w:ascii="Roboto" w:hAnsi="Roboto" w:cs="Calibri" w:cstheme="minorHAnsi"/>
                <w:color w:val="000000"/>
              </w:rPr>
            </w:pPr>
            <w:r>
              <w:rPr>
                <w:rFonts w:cs="Calibri" w:ascii="Roboto" w:hAnsi="Roboto" w:cstheme="minorHAnsi"/>
                <w:color w:val="000000"/>
                <w:kern w:val="0"/>
                <w:sz w:val="20"/>
                <w:szCs w:val="20"/>
                <w:lang w:val="de-DE" w:bidi="ar-SA"/>
              </w:rPr>
              <w:t xml:space="preserve">Jedem Modul ist eine bestimmte Anzahl von </w:t>
            </w:r>
            <w:r>
              <w:rPr>
                <w:rFonts w:ascii="Roboto" w:hAnsi="Roboto"/>
                <w:kern w:val="0"/>
                <w:sz w:val="20"/>
                <w:szCs w:val="20"/>
                <w:lang w:val="de-DE" w:bidi="ar-SA"/>
              </w:rPr>
              <w:t>ECTS-</w:t>
            </w:r>
            <w:r>
              <w:rPr>
                <w:rFonts w:cs="Calibri" w:ascii="Roboto" w:hAnsi="Roboto" w:cstheme="minorHAnsi"/>
                <w:color w:val="000000"/>
                <w:kern w:val="0"/>
                <w:sz w:val="20"/>
                <w:szCs w:val="20"/>
                <w:lang w:val="de-DE" w:bidi="ar-SA"/>
              </w:rPr>
              <w:t xml:space="preserve">LP zugeordnet. </w:t>
            </w:r>
          </w:p>
        </w:tc>
        <w:tc>
          <w:tcPr>
            <w:tcW w:w="1842" w:type="dxa"/>
            <w:tcBorders/>
          </w:tcPr>
          <w:p>
            <w:pPr>
              <w:pStyle w:val="Normal"/>
              <w:widowControl/>
              <w:suppressAutoHyphens w:val="true"/>
              <w:spacing w:before="0" w:after="0"/>
              <w:jc w:val="start"/>
              <w:rPr>
                <w:kern w:val="0"/>
                <w:sz w:val="20"/>
                <w:szCs w:val="20"/>
                <w:highlight w:val="none"/>
                <w:shd w:fill="auto" w:val="clear"/>
                <w:lang w:val="de-DE" w:bidi="ar-SA"/>
              </w:rPr>
            </w:pPr>
            <w:r>
              <w:rPr>
                <w:rFonts w:ascii="Roboto" w:hAnsi="Roboto"/>
                <w:kern w:val="0"/>
                <w:sz w:val="16"/>
                <w:szCs w:val="16"/>
                <w:shd w:fill="auto" w:val="clear"/>
                <w:lang w:val="de-DE" w:bidi="ar-SA"/>
              </w:rPr>
              <w:t>§ 8 Abs. 1 Satz 1 SächsStudAkkVO</w:t>
            </w:r>
          </w:p>
          <w:p>
            <w:pPr>
              <w:pStyle w:val="Normal"/>
              <w:widowControl/>
              <w:suppressAutoHyphens w:val="true"/>
              <w:spacing w:before="0" w:after="0"/>
              <w:jc w:val="start"/>
              <w:rPr>
                <w:kern w:val="0"/>
                <w:sz w:val="20"/>
                <w:szCs w:val="20"/>
                <w:highlight w:val="none"/>
                <w:shd w:fill="auto" w:val="clear"/>
                <w:lang w:val="de-DE" w:bidi="ar-SA"/>
              </w:rPr>
            </w:pPr>
            <w:r>
              <w:rPr>
                <w:rFonts w:ascii="Roboto" w:hAnsi="Roboto"/>
                <w:kern w:val="0"/>
                <w:sz w:val="16"/>
                <w:szCs w:val="16"/>
                <w:shd w:fill="auto" w:val="clear"/>
                <w:lang w:val="de-DE" w:bidi="ar-SA"/>
              </w:rPr>
              <w:t>§ 37 Abs. 3 SächsHSG</w:t>
            </w:r>
          </w:p>
        </w:tc>
        <w:tc>
          <w:tcPr>
            <w:tcW w:w="1134"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6 Abs. 1 SO</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25 Abs. 1 PO</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SAP und MB</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551384301"/>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erfüllt </w:t>
            </w:r>
          </w:p>
          <w:p>
            <w:pPr>
              <w:pStyle w:val="Normal"/>
              <w:widowControl/>
              <w:suppressAutoHyphens w:val="true"/>
              <w:spacing w:before="0" w:after="0"/>
              <w:jc w:val="start"/>
              <w:rPr>
                <w:rFonts w:ascii="Roboto" w:hAnsi="Roboto"/>
              </w:rPr>
            </w:pPr>
            <w:sdt>
              <w:sdtPr>
                <w:id w:val="-1006519249"/>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erfüllt</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1899033756"/>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068457598"/>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11</w:t>
            </w:r>
          </w:p>
        </w:tc>
        <w:tc>
          <w:tcPr>
            <w:tcW w:w="3208" w:type="dxa"/>
            <w:tcBorders/>
          </w:tcPr>
          <w:p>
            <w:pPr>
              <w:pStyle w:val="Normal"/>
              <w:widowControl/>
              <w:suppressAutoHyphens w:val="true"/>
              <w:spacing w:before="0" w:after="0"/>
              <w:jc w:val="both"/>
              <w:rPr>
                <w:rFonts w:ascii="Roboto" w:hAnsi="Roboto" w:cs="Calibri" w:cstheme="minorHAnsi"/>
                <w:color w:val="000000"/>
              </w:rPr>
            </w:pPr>
            <w:r>
              <w:rPr>
                <w:rFonts w:cs="Calibri" w:ascii="Roboto" w:hAnsi="Roboto" w:cstheme="minorHAnsi"/>
                <w:color w:val="000000"/>
                <w:kern w:val="0"/>
                <w:sz w:val="20"/>
                <w:szCs w:val="20"/>
                <w:lang w:val="de-DE" w:bidi="ar-SA"/>
              </w:rPr>
              <w:t>Die Modulbeschreibung umfasst:</w:t>
            </w:r>
          </w:p>
          <w:p>
            <w:pPr>
              <w:pStyle w:val="Normal"/>
              <w:widowControl/>
              <w:suppressAutoHyphens w:val="true"/>
              <w:spacing w:before="0" w:after="0"/>
              <w:jc w:val="start"/>
              <w:rPr>
                <w:rFonts w:ascii="Roboto" w:hAnsi="Roboto" w:cs="Calibri" w:cstheme="minorHAnsi"/>
                <w:color w:val="000000"/>
              </w:rPr>
            </w:pPr>
            <w:r>
              <w:rPr>
                <w:rFonts w:cs="Calibri" w:ascii="Roboto" w:hAnsi="Roboto" w:cstheme="minorHAnsi"/>
                <w:color w:val="000000"/>
                <w:kern w:val="0"/>
                <w:sz w:val="20"/>
                <w:szCs w:val="20"/>
                <w:lang w:val="de-DE" w:bidi="ar-SA"/>
              </w:rPr>
              <w:t xml:space="preserve">1. Inhalte und Qualifikationsziele des Moduls, </w:t>
            </w:r>
          </w:p>
          <w:p>
            <w:pPr>
              <w:pStyle w:val="Normal"/>
              <w:widowControl/>
              <w:suppressAutoHyphens w:val="true"/>
              <w:spacing w:before="0" w:after="0"/>
              <w:jc w:val="start"/>
              <w:rPr>
                <w:rFonts w:ascii="Roboto" w:hAnsi="Roboto" w:cs="Calibri" w:cstheme="minorHAnsi"/>
                <w:color w:val="000000"/>
              </w:rPr>
            </w:pPr>
            <w:r>
              <w:rPr>
                <w:rFonts w:cs="Calibri" w:ascii="Roboto" w:hAnsi="Roboto" w:cstheme="minorHAnsi"/>
                <w:color w:val="000000"/>
                <w:kern w:val="0"/>
                <w:sz w:val="20"/>
                <w:szCs w:val="20"/>
                <w:lang w:val="de-DE" w:bidi="ar-SA"/>
              </w:rPr>
              <w:t>2. Lehr- und Lernformen,</w:t>
            </w:r>
          </w:p>
          <w:p>
            <w:pPr>
              <w:pStyle w:val="Normal"/>
              <w:widowControl/>
              <w:suppressAutoHyphens w:val="true"/>
              <w:spacing w:before="0" w:after="0"/>
              <w:jc w:val="start"/>
              <w:rPr>
                <w:rFonts w:ascii="Roboto" w:hAnsi="Roboto" w:cs="Calibri" w:cstheme="minorHAnsi"/>
                <w:color w:val="000000"/>
              </w:rPr>
            </w:pPr>
            <w:r>
              <w:rPr>
                <w:rFonts w:cs="Calibri" w:ascii="Roboto" w:hAnsi="Roboto" w:cstheme="minorHAnsi"/>
                <w:color w:val="000000"/>
                <w:kern w:val="0"/>
                <w:sz w:val="20"/>
                <w:szCs w:val="20"/>
                <w:lang w:val="de-DE" w:bidi="ar-SA"/>
              </w:rPr>
              <w:t>3. Voraussetzungen für die Teilnahme</w:t>
            </w:r>
            <w:r>
              <w:rPr>
                <w:rStyle w:val="FootnoteReference"/>
                <w:rFonts w:cs="Calibri" w:ascii="Roboto" w:hAnsi="Roboto" w:cstheme="minorHAnsi"/>
                <w:color w:val="000000"/>
                <w:kern w:val="0"/>
                <w:sz w:val="20"/>
                <w:szCs w:val="20"/>
                <w:lang w:val="de-DE" w:bidi="ar-SA"/>
              </w:rPr>
              <w:footnoteReference w:id="10"/>
            </w:r>
            <w:r>
              <w:rPr>
                <w:rFonts w:cs="Calibri" w:ascii="Roboto" w:hAnsi="Roboto" w:cstheme="minorHAnsi"/>
                <w:color w:val="000000"/>
                <w:kern w:val="0"/>
                <w:sz w:val="20"/>
                <w:szCs w:val="20"/>
                <w:lang w:val="de-DE" w:bidi="ar-SA"/>
              </w:rPr>
              <w:t>,</w:t>
            </w:r>
          </w:p>
          <w:p>
            <w:pPr>
              <w:pStyle w:val="Normal"/>
              <w:widowControl/>
              <w:suppressAutoHyphens w:val="true"/>
              <w:spacing w:before="0" w:after="0"/>
              <w:jc w:val="start"/>
              <w:rPr>
                <w:strike/>
              </w:rPr>
            </w:pPr>
            <w:r>
              <w:rPr>
                <w:rFonts w:cs="Calibri" w:ascii="Roboto" w:hAnsi="Roboto" w:cstheme="minorHAnsi"/>
                <w:strike/>
                <w:color w:val="000000"/>
                <w:kern w:val="0"/>
                <w:sz w:val="20"/>
                <w:szCs w:val="20"/>
                <w:lang w:val="de-DE" w:bidi="ar-SA"/>
              </w:rPr>
              <w:t>4. Verwendbarkeit des Moduls</w:t>
            </w:r>
            <w:r>
              <w:rPr>
                <w:rStyle w:val="FootnoteReference"/>
                <w:rFonts w:cs="Calibri" w:ascii="Roboto" w:hAnsi="Roboto" w:cstheme="minorHAnsi"/>
                <w:strike/>
                <w:color w:val="000000"/>
                <w:kern w:val="0"/>
                <w:sz w:val="20"/>
                <w:szCs w:val="20"/>
                <w:lang w:val="de-DE" w:bidi="ar-SA"/>
              </w:rPr>
              <w:footnoteReference w:id="11"/>
            </w:r>
            <w:r>
              <w:rPr>
                <w:rFonts w:cs="Calibri" w:ascii="Roboto" w:hAnsi="Roboto" w:cstheme="minorHAnsi"/>
                <w:strike/>
                <w:color w:val="000000"/>
                <w:kern w:val="0"/>
                <w:sz w:val="20"/>
                <w:szCs w:val="20"/>
                <w:lang w:val="de-DE" w:bidi="ar-SA"/>
              </w:rPr>
              <w:t>,</w:t>
            </w:r>
          </w:p>
          <w:p>
            <w:pPr>
              <w:pStyle w:val="Normal"/>
              <w:widowControl/>
              <w:suppressAutoHyphens w:val="true"/>
              <w:spacing w:before="0" w:after="0"/>
              <w:jc w:val="start"/>
              <w:rPr>
                <w:rFonts w:ascii="Roboto" w:hAnsi="Roboto" w:cs="Calibri" w:cstheme="minorHAnsi"/>
                <w:color w:val="000000"/>
              </w:rPr>
            </w:pPr>
            <w:r>
              <w:rPr>
                <w:rFonts w:cs="Calibri" w:ascii="Roboto" w:hAnsi="Roboto" w:cstheme="minorHAnsi"/>
                <w:color w:val="000000"/>
                <w:kern w:val="0"/>
                <w:sz w:val="20"/>
                <w:szCs w:val="20"/>
                <w:lang w:val="de-DE" w:bidi="ar-SA"/>
              </w:rPr>
              <w:t>5. Voraussetzungen für die Vergabe von ECTS-LP,</w:t>
            </w:r>
          </w:p>
          <w:p>
            <w:pPr>
              <w:pStyle w:val="Normal"/>
              <w:widowControl/>
              <w:suppressAutoHyphens w:val="true"/>
              <w:spacing w:before="0" w:after="0"/>
              <w:jc w:val="start"/>
              <w:rPr>
                <w:rFonts w:ascii="Roboto" w:hAnsi="Roboto" w:cs="Calibri" w:cstheme="minorHAnsi"/>
                <w:color w:val="000000"/>
              </w:rPr>
            </w:pPr>
            <w:r>
              <w:rPr>
                <w:rFonts w:cs="Calibri" w:ascii="Roboto" w:hAnsi="Roboto" w:cstheme="minorHAnsi"/>
                <w:color w:val="000000"/>
                <w:kern w:val="0"/>
                <w:sz w:val="20"/>
                <w:szCs w:val="20"/>
                <w:lang w:val="de-DE" w:bidi="ar-SA"/>
              </w:rPr>
              <w:t>6. ECTS-LP und Benotung,</w:t>
            </w:r>
          </w:p>
          <w:p>
            <w:pPr>
              <w:pStyle w:val="Normal"/>
              <w:widowControl/>
              <w:suppressAutoHyphens w:val="true"/>
              <w:spacing w:before="0" w:after="0"/>
              <w:jc w:val="start"/>
              <w:rPr>
                <w:rFonts w:ascii="Roboto" w:hAnsi="Roboto" w:cs="Calibri" w:cstheme="minorHAnsi"/>
                <w:color w:val="000000"/>
              </w:rPr>
            </w:pPr>
            <w:r>
              <w:rPr>
                <w:rFonts w:cs="Calibri" w:ascii="Roboto" w:hAnsi="Roboto" w:cstheme="minorHAnsi"/>
                <w:color w:val="000000"/>
                <w:kern w:val="0"/>
                <w:sz w:val="20"/>
                <w:szCs w:val="20"/>
                <w:lang w:val="de-DE" w:bidi="ar-SA"/>
              </w:rPr>
              <w:t>7. Häufigkeit des Angebots des Moduls,</w:t>
            </w:r>
          </w:p>
          <w:p>
            <w:pPr>
              <w:pStyle w:val="Normal"/>
              <w:widowControl/>
              <w:suppressAutoHyphens w:val="true"/>
              <w:spacing w:before="0" w:after="0"/>
              <w:jc w:val="start"/>
              <w:rPr>
                <w:rFonts w:ascii="Roboto" w:hAnsi="Roboto" w:cs="Calibri" w:cstheme="minorHAnsi"/>
                <w:color w:val="000000"/>
              </w:rPr>
            </w:pPr>
            <w:r>
              <w:rPr>
                <w:rFonts w:cs="Calibri" w:ascii="Roboto" w:hAnsi="Roboto" w:cstheme="minorHAnsi"/>
                <w:color w:val="000000"/>
                <w:kern w:val="0"/>
                <w:sz w:val="20"/>
                <w:szCs w:val="20"/>
                <w:lang w:val="de-DE" w:bidi="ar-SA"/>
              </w:rPr>
              <w:t>8. Arbeitsaufwand und</w:t>
            </w:r>
          </w:p>
          <w:p>
            <w:pPr>
              <w:pStyle w:val="Normal"/>
              <w:widowControl/>
              <w:suppressAutoHyphens w:val="true"/>
              <w:spacing w:before="0" w:after="0"/>
              <w:jc w:val="start"/>
              <w:rPr>
                <w:rFonts w:ascii="Roboto" w:hAnsi="Roboto" w:cs="Calibri" w:cstheme="minorHAnsi"/>
                <w:color w:val="000000"/>
              </w:rPr>
            </w:pPr>
            <w:r>
              <w:rPr>
                <w:rFonts w:cs="Calibri" w:ascii="Roboto" w:hAnsi="Roboto" w:cstheme="minorHAnsi"/>
                <w:color w:val="000000"/>
                <w:kern w:val="0"/>
                <w:sz w:val="20"/>
                <w:szCs w:val="20"/>
                <w:lang w:val="de-DE" w:bidi="ar-SA"/>
              </w:rPr>
              <w:t>9. Dauer des Moduls.</w:t>
            </w:r>
          </w:p>
        </w:tc>
        <w:tc>
          <w:tcPr>
            <w:tcW w:w="1842"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7 Abs. 2 Satz 1 und Abs. 3 SächsStudAkkVO</w:t>
            </w:r>
          </w:p>
          <w:p>
            <w:pPr>
              <w:pStyle w:val="Normal"/>
              <w:widowControl/>
              <w:suppressAutoHyphens w:val="true"/>
              <w:spacing w:before="0" w:after="0"/>
              <w:jc w:val="start"/>
              <w:rPr>
                <w:rFonts w:ascii="Roboto" w:hAnsi="Roboto" w:cs="Calibri" w:cstheme="minorHAnsi"/>
                <w:sz w:val="16"/>
                <w:szCs w:val="16"/>
              </w:rPr>
            </w:pPr>
            <w:r>
              <w:rPr>
                <w:rFonts w:cs="Calibri" w:cstheme="minorHAnsi" w:ascii="Roboto" w:hAnsi="Roboto"/>
                <w:kern w:val="0"/>
                <w:sz w:val="16"/>
                <w:szCs w:val="16"/>
                <w:lang w:val="de-DE" w:bidi="ar-SA"/>
              </w:rPr>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37 Abs. 3 Satz 5</w:t>
            </w:r>
            <w:r>
              <w:rPr>
                <w:rFonts w:cs="Calibri" w:cstheme="minorHAnsi"/>
                <w:kern w:val="0"/>
                <w:sz w:val="16"/>
                <w:szCs w:val="16"/>
                <w:vertAlign w:val="superscript"/>
                <w:lang w:val="de-DE" w:bidi="ar-SA"/>
              </w:rPr>
              <w:t xml:space="preserve"> </w:t>
            </w:r>
            <w:r>
              <w:rPr>
                <w:rFonts w:cs="Calibri" w:ascii="Roboto" w:hAnsi="Roboto" w:cstheme="minorHAnsi"/>
                <w:kern w:val="0"/>
                <w:sz w:val="16"/>
                <w:szCs w:val="16"/>
                <w:lang w:val="de-DE" w:bidi="ar-SA"/>
              </w:rPr>
              <w:t>SächsHSG</w:t>
            </w:r>
          </w:p>
        </w:tc>
        <w:tc>
          <w:tcPr>
            <w:tcW w:w="1134"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MB </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865519988"/>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377935187"/>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p>
            <w:pPr>
              <w:pStyle w:val="Normal"/>
              <w:widowControl/>
              <w:tabs>
                <w:tab w:val="clear" w:pos="708"/>
                <w:tab w:val="left" w:pos="3600" w:leader="none"/>
              </w:tabs>
              <w:suppressAutoHyphens w:val="true"/>
              <w:spacing w:before="0" w:after="0"/>
              <w:jc w:val="start"/>
              <w:rPr>
                <w:rFonts w:ascii="Roboto" w:hAnsi="Roboto"/>
              </w:rPr>
            </w:pPr>
            <w:r>
              <w:rPr>
                <w:rFonts w:ascii="Roboto" w:hAnsi="Roboto"/>
                <w:kern w:val="0"/>
                <w:sz w:val="20"/>
                <w:szCs w:val="20"/>
                <w:lang w:val="de-DE" w:bidi="ar-SA"/>
              </w:rPr>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2070645213"/>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863239500"/>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12</w:t>
            </w:r>
          </w:p>
        </w:tc>
        <w:tc>
          <w:tcPr>
            <w:tcW w:w="3208" w:type="dxa"/>
            <w:tcBorders/>
          </w:tcPr>
          <w:p>
            <w:pPr>
              <w:pStyle w:val="Normal"/>
              <w:widowControl/>
              <w:suppressAutoHyphens w:val="true"/>
              <w:spacing w:before="0" w:after="0"/>
              <w:jc w:val="start"/>
              <w:rPr>
                <w:rFonts w:ascii="Roboto" w:hAnsi="Roboto"/>
              </w:rPr>
            </w:pPr>
            <w:r>
              <w:rPr>
                <w:rFonts w:ascii="Roboto" w:hAnsi="Roboto"/>
                <w:kern w:val="0"/>
                <w:sz w:val="20"/>
                <w:szCs w:val="20"/>
                <w:lang w:val="de-DE" w:bidi="ar-SA"/>
              </w:rPr>
              <w:t>Ein ECTS-</w:t>
            </w:r>
            <w:r>
              <w:rPr>
                <w:rFonts w:cs="Calibri" w:ascii="Roboto" w:hAnsi="Roboto" w:cstheme="minorHAnsi"/>
                <w:color w:val="000000"/>
                <w:kern w:val="0"/>
                <w:sz w:val="20"/>
                <w:szCs w:val="20"/>
                <w:lang w:val="de-DE" w:bidi="ar-SA"/>
              </w:rPr>
              <w:t xml:space="preserve">LP </w:t>
            </w:r>
            <w:r>
              <w:rPr>
                <w:rFonts w:ascii="Roboto" w:hAnsi="Roboto"/>
                <w:kern w:val="0"/>
                <w:sz w:val="20"/>
                <w:szCs w:val="20"/>
                <w:lang w:val="de-DE" w:bidi="ar-SA"/>
              </w:rPr>
              <w:t>entspricht einer Gesamtarbeitsleistung der Studierenden im Präsenz- und Selbststudium von 25 bis höchstens 30 Zeitstunden.</w:t>
            </w:r>
            <w:r>
              <w:rPr>
                <w:rStyle w:val="FootnoteReference"/>
                <w:rFonts w:ascii="Roboto" w:hAnsi="Roboto"/>
                <w:kern w:val="0"/>
                <w:sz w:val="20"/>
                <w:szCs w:val="20"/>
                <w:lang w:val="de-DE" w:bidi="ar-SA"/>
              </w:rPr>
              <w:footnoteReference w:id="12"/>
            </w:r>
          </w:p>
        </w:tc>
        <w:tc>
          <w:tcPr>
            <w:tcW w:w="1842" w:type="dxa"/>
            <w:tcBorders/>
          </w:tcPr>
          <w:p>
            <w:pPr>
              <w:pStyle w:val="Normal"/>
              <w:widowControl/>
              <w:suppressAutoHyphens w:val="true"/>
              <w:spacing w:before="0" w:after="0"/>
              <w:jc w:val="start"/>
              <w:rPr>
                <w:kern w:val="0"/>
                <w:sz w:val="20"/>
                <w:szCs w:val="20"/>
                <w:highlight w:val="none"/>
                <w:shd w:fill="auto" w:val="clear"/>
                <w:lang w:val="de-DE" w:bidi="ar-SA"/>
              </w:rPr>
            </w:pPr>
            <w:r>
              <w:rPr>
                <w:rFonts w:ascii="Roboto" w:hAnsi="Roboto"/>
                <w:kern w:val="0"/>
                <w:sz w:val="16"/>
                <w:szCs w:val="16"/>
                <w:shd w:fill="auto" w:val="clear"/>
                <w:lang w:val="de-DE" w:bidi="ar-SA"/>
              </w:rPr>
              <w:t>§ 8 Abs. 1 Satz 3 SächsStudAkkVO</w:t>
            </w:r>
            <w:r>
              <w:rPr>
                <w:rFonts w:ascii="Roboto" w:hAnsi="Roboto"/>
                <w:kern w:val="0"/>
                <w:sz w:val="18"/>
                <w:szCs w:val="18"/>
                <w:shd w:fill="auto" w:val="clear"/>
                <w:lang w:val="de-DE" w:bidi="ar-SA"/>
              </w:rPr>
              <w:t xml:space="preserve"> </w:t>
            </w:r>
          </w:p>
        </w:tc>
        <w:tc>
          <w:tcPr>
            <w:tcW w:w="1134" w:type="dxa"/>
            <w:tcBorders/>
          </w:tcPr>
          <w:p>
            <w:pPr>
              <w:pStyle w:val="Normal"/>
              <w:widowControl/>
              <w:suppressAutoHyphens w:val="true"/>
              <w:spacing w:before="0" w:after="0"/>
              <w:jc w:val="start"/>
              <w:rPr>
                <w:kern w:val="0"/>
                <w:sz w:val="20"/>
                <w:szCs w:val="20"/>
                <w:highlight w:val="none"/>
                <w:shd w:fill="auto" w:val="clear"/>
                <w:lang w:val="de-DE" w:bidi="ar-SA"/>
              </w:rPr>
            </w:pPr>
            <w:r>
              <w:rPr>
                <w:rFonts w:ascii="Roboto" w:hAnsi="Roboto"/>
                <w:kern w:val="0"/>
                <w:sz w:val="16"/>
                <w:szCs w:val="16"/>
                <w:shd w:fill="auto" w:val="clear"/>
                <w:lang w:val="de-DE" w:bidi="ar-SA"/>
              </w:rPr>
              <w:t xml:space="preserve">implizit: § 2 Abs. 2 Satz 2-3 SO </w:t>
            </w:r>
          </w:p>
          <w:p>
            <w:pPr>
              <w:pStyle w:val="Normal"/>
              <w:widowControl/>
              <w:suppressAutoHyphens w:val="true"/>
              <w:spacing w:before="0" w:after="0"/>
              <w:jc w:val="start"/>
              <w:rPr>
                <w:kern w:val="0"/>
                <w:sz w:val="20"/>
                <w:szCs w:val="20"/>
                <w:highlight w:val="none"/>
                <w:shd w:fill="auto" w:val="clear"/>
                <w:lang w:val="de-DE" w:bidi="ar-SA"/>
              </w:rPr>
            </w:pPr>
            <w:r>
              <w:rPr>
                <w:rFonts w:ascii="Roboto" w:hAnsi="Roboto"/>
                <w:kern w:val="0"/>
                <w:sz w:val="16"/>
                <w:szCs w:val="16"/>
                <w:shd w:fill="auto" w:val="clear"/>
                <w:lang w:val="de-DE" w:bidi="ar-SA"/>
              </w:rPr>
              <w:t>§ 24 Abs. 2 und 3 PO</w:t>
            </w:r>
          </w:p>
          <w:p>
            <w:pPr>
              <w:pStyle w:val="Normal"/>
              <w:widowControl/>
              <w:suppressAutoHyphens w:val="true"/>
              <w:spacing w:before="0" w:after="0"/>
              <w:jc w:val="start"/>
              <w:rPr>
                <w:kern w:val="0"/>
                <w:sz w:val="20"/>
                <w:szCs w:val="20"/>
                <w:highlight w:val="none"/>
                <w:shd w:fill="auto" w:val="clear"/>
                <w:lang w:val="de-DE" w:bidi="ar-SA"/>
              </w:rPr>
            </w:pPr>
            <w:r>
              <w:rPr>
                <w:rFonts w:ascii="Roboto" w:hAnsi="Roboto"/>
                <w:kern w:val="0"/>
                <w:sz w:val="16"/>
                <w:szCs w:val="16"/>
                <w:shd w:fill="auto" w:val="clear"/>
                <w:lang w:val="de-DE" w:bidi="ar-SA"/>
              </w:rPr>
              <w:t>SAP</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1578593736"/>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sz w:val="16"/>
                <w:szCs w:val="16"/>
              </w:rPr>
            </w:pPr>
            <w:sdt>
              <w:sdtPr>
                <w:id w:val="-714963103"/>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erfüllt</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1923601859"/>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2129583"/>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13</w:t>
            </w:r>
          </w:p>
        </w:tc>
        <w:tc>
          <w:tcPr>
            <w:tcW w:w="3208" w:type="dxa"/>
            <w:tcBorders/>
          </w:tcPr>
          <w:p>
            <w:pPr>
              <w:pStyle w:val="Normal"/>
              <w:widowControl/>
              <w:suppressAutoHyphens w:val="true"/>
              <w:spacing w:before="0" w:after="0"/>
              <w:jc w:val="start"/>
              <w:rPr>
                <w:rFonts w:ascii="Roboto" w:hAnsi="Roboto" w:cs="Calibri" w:cstheme="minorHAnsi"/>
                <w:color w:val="000000"/>
              </w:rPr>
            </w:pPr>
            <w:r>
              <w:rPr>
                <w:rFonts w:ascii="Roboto" w:hAnsi="Roboto"/>
                <w:kern w:val="0"/>
                <w:sz w:val="20"/>
                <w:szCs w:val="20"/>
                <w:lang w:val="de-DE" w:bidi="ar-SA"/>
              </w:rPr>
              <w:t>Für ein Modul werden ECTS-</w:t>
            </w:r>
            <w:r>
              <w:rPr>
                <w:rFonts w:cs="Calibri" w:ascii="Roboto" w:hAnsi="Roboto" w:cstheme="minorHAnsi"/>
                <w:color w:val="000000"/>
                <w:kern w:val="0"/>
                <w:sz w:val="20"/>
                <w:szCs w:val="20"/>
                <w:lang w:val="de-DE" w:bidi="ar-SA"/>
              </w:rPr>
              <w:t xml:space="preserve">LP </w:t>
            </w:r>
            <w:r>
              <w:rPr>
                <w:rFonts w:ascii="Roboto" w:hAnsi="Roboto"/>
                <w:kern w:val="0"/>
                <w:sz w:val="20"/>
                <w:szCs w:val="20"/>
                <w:lang w:val="de-DE" w:bidi="ar-SA"/>
              </w:rPr>
              <w:t>gewährt, wenn die in der Prüfungsordnung vorgesehenen Leistungen nachgewiesen werden.</w:t>
            </w:r>
          </w:p>
        </w:tc>
        <w:tc>
          <w:tcPr>
            <w:tcW w:w="1842" w:type="dxa"/>
            <w:tcBorders/>
          </w:tcPr>
          <w:p>
            <w:pPr>
              <w:pStyle w:val="Normal"/>
              <w:widowControl/>
              <w:suppressAutoHyphens w:val="true"/>
              <w:spacing w:before="0" w:after="0"/>
              <w:jc w:val="start"/>
              <w:rPr>
                <w:kern w:val="0"/>
                <w:sz w:val="20"/>
                <w:szCs w:val="20"/>
                <w:highlight w:val="none"/>
                <w:shd w:fill="auto" w:val="clear"/>
                <w:lang w:val="de-DE" w:bidi="ar-SA"/>
              </w:rPr>
            </w:pPr>
            <w:r>
              <w:rPr>
                <w:rFonts w:cs="Calibri" w:ascii="Roboto" w:hAnsi="Roboto" w:cstheme="minorHAnsi"/>
                <w:kern w:val="0"/>
                <w:sz w:val="16"/>
                <w:szCs w:val="16"/>
                <w:shd w:fill="auto" w:val="clear"/>
                <w:lang w:val="de-DE" w:bidi="ar-SA"/>
              </w:rPr>
              <w:t>§ 8 Abs. 1 Satz 4 SächsStudAkkVO</w:t>
            </w:r>
          </w:p>
          <w:p>
            <w:pPr>
              <w:pStyle w:val="Normal"/>
              <w:widowControl/>
              <w:suppressAutoHyphens w:val="true"/>
              <w:spacing w:before="0" w:after="0"/>
              <w:jc w:val="start"/>
              <w:rPr>
                <w:kern w:val="0"/>
                <w:sz w:val="20"/>
                <w:szCs w:val="20"/>
                <w:highlight w:val="none"/>
                <w:shd w:fill="auto" w:val="clear"/>
                <w:lang w:val="de-DE" w:bidi="ar-SA"/>
              </w:rPr>
            </w:pPr>
            <w:r>
              <w:rPr>
                <w:rFonts w:cs="Calibri" w:ascii="Roboto" w:hAnsi="Roboto" w:cstheme="minorHAnsi"/>
                <w:kern w:val="0"/>
                <w:sz w:val="16"/>
                <w:szCs w:val="16"/>
                <w:shd w:fill="auto" w:val="clear"/>
                <w:lang w:val="de-DE" w:bidi="ar-SA"/>
              </w:rPr>
              <w:t>§ 37 Abs. 3 Satz 2 und 3 SächsHSG</w:t>
            </w:r>
          </w:p>
        </w:tc>
        <w:tc>
          <w:tcPr>
            <w:tcW w:w="1134" w:type="dxa"/>
            <w:tcBorders/>
          </w:tcPr>
          <w:p>
            <w:pPr>
              <w:pStyle w:val="Normal"/>
              <w:widowControl/>
              <w:suppressAutoHyphens w:val="true"/>
              <w:spacing w:before="0" w:after="0"/>
              <w:jc w:val="start"/>
              <w:rPr>
                <w:kern w:val="0"/>
                <w:sz w:val="20"/>
                <w:szCs w:val="20"/>
                <w:highlight w:val="none"/>
                <w:shd w:fill="auto" w:val="clear"/>
                <w:lang w:val="de-DE" w:bidi="ar-SA"/>
              </w:rPr>
            </w:pPr>
            <w:r>
              <w:rPr>
                <w:rFonts w:cs="Calibri" w:ascii="Roboto" w:hAnsi="Roboto" w:cstheme="minorHAnsi"/>
                <w:kern w:val="0"/>
                <w:sz w:val="16"/>
                <w:szCs w:val="16"/>
                <w:shd w:fill="auto" w:val="clear"/>
                <w:lang w:val="de-DE" w:bidi="ar-SA"/>
              </w:rPr>
              <w:t xml:space="preserve">§ 24 Abs. 3 Satz 2 PO </w:t>
            </w:r>
          </w:p>
          <w:p>
            <w:pPr>
              <w:pStyle w:val="Normal"/>
              <w:widowControl/>
              <w:suppressAutoHyphens w:val="true"/>
              <w:spacing w:before="0" w:after="0"/>
              <w:jc w:val="start"/>
              <w:rPr>
                <w:kern w:val="0"/>
                <w:sz w:val="20"/>
                <w:szCs w:val="20"/>
                <w:highlight w:val="none"/>
                <w:shd w:fill="auto" w:val="clear"/>
                <w:lang w:val="de-DE" w:bidi="ar-SA"/>
              </w:rPr>
            </w:pPr>
            <w:r>
              <w:rPr>
                <w:rFonts w:cs="Calibri" w:ascii="Roboto" w:hAnsi="Roboto" w:cstheme="minorHAnsi"/>
                <w:kern w:val="0"/>
                <w:sz w:val="16"/>
                <w:szCs w:val="16"/>
                <w:shd w:fill="auto" w:val="clear"/>
                <w:lang w:val="de-DE" w:bidi="ar-SA"/>
              </w:rPr>
              <w:t xml:space="preserve">MB </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730736062"/>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644781695"/>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250044300"/>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791200557"/>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8364" w:type="dxa"/>
            <w:gridSpan w:val="5"/>
            <w:tcBorders/>
            <w:shd w:color="auto" w:fill="D9D9D9" w:themeFill="background1" w:themeFillShade="d9" w:val="clear"/>
          </w:tcPr>
          <w:p>
            <w:pPr>
              <w:pStyle w:val="Normal"/>
              <w:widowControl/>
              <w:suppressAutoHyphens w:val="true"/>
              <w:spacing w:before="0" w:after="0"/>
              <w:jc w:val="start"/>
              <w:rPr>
                <w:rFonts w:ascii="Roboto" w:hAnsi="Roboto" w:cs="Calibri" w:cstheme="minorHAnsi"/>
                <w:b/>
              </w:rPr>
            </w:pPr>
            <w:r>
              <w:rPr>
                <w:rFonts w:cs="Calibri" w:ascii="Roboto" w:hAnsi="Roboto" w:cstheme="minorHAnsi"/>
                <w:b/>
                <w:kern w:val="0"/>
                <w:sz w:val="20"/>
                <w:szCs w:val="20"/>
                <w:lang w:val="de-DE" w:bidi="ar-SA"/>
              </w:rPr>
              <w:t>Studierbarkeit</w:t>
            </w:r>
          </w:p>
        </w:tc>
        <w:tc>
          <w:tcPr>
            <w:tcW w:w="1559" w:type="dxa"/>
            <w:tcBorders/>
            <w:shd w:color="auto" w:fill="D9D9D9" w:themeFill="background1" w:themeFillShade="d9" w:val="clear"/>
          </w:tcPr>
          <w:p>
            <w:pPr>
              <w:pStyle w:val="Normal"/>
              <w:widowControl/>
              <w:suppressAutoHyphens w:val="true"/>
              <w:spacing w:before="0" w:after="0"/>
              <w:jc w:val="start"/>
              <w:rPr>
                <w:rFonts w:ascii="Roboto" w:hAnsi="Roboto" w:cs="Calibri" w:cstheme="minorHAnsi"/>
                <w:b/>
              </w:rPr>
            </w:pPr>
            <w:r>
              <w:rPr>
                <w:rFonts w:cs="Calibri" w:cstheme="minorHAnsi" w:ascii="Roboto" w:hAnsi="Roboto"/>
                <w:b/>
                <w:kern w:val="0"/>
                <w:sz w:val="20"/>
                <w:szCs w:val="20"/>
                <w:lang w:val="de-DE" w:bidi="ar-SA"/>
              </w:rPr>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14</w:t>
            </w:r>
          </w:p>
        </w:tc>
        <w:tc>
          <w:tcPr>
            <w:tcW w:w="3208" w:type="dxa"/>
            <w:tcBorders/>
          </w:tcPr>
          <w:p>
            <w:pPr>
              <w:pStyle w:val="Normal"/>
              <w:widowControl/>
              <w:suppressAutoHyphens w:val="true"/>
              <w:spacing w:before="0" w:after="0"/>
              <w:jc w:val="start"/>
              <w:rPr>
                <w:rFonts w:ascii="Roboto" w:hAnsi="Roboto"/>
              </w:rPr>
            </w:pPr>
            <w:r>
              <w:rPr>
                <w:rFonts w:cs="Calibri" w:ascii="Roboto" w:hAnsi="Roboto" w:cstheme="minorHAnsi"/>
                <w:color w:val="000000"/>
                <w:kern w:val="0"/>
                <w:sz w:val="20"/>
                <w:szCs w:val="20"/>
                <w:lang w:val="de-DE" w:bidi="ar-SA"/>
              </w:rPr>
              <w:t xml:space="preserve">Die Studienordnung enthält als Empfehlung für den Verlauf des Studiums einen Studienablaufplan, bei dessen Beachtung die Einhaltung der Regelstudienzeit erreicht werden kann. </w:t>
            </w:r>
          </w:p>
        </w:tc>
        <w:tc>
          <w:tcPr>
            <w:tcW w:w="1842"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12 Abs. 6 Satz 1 SächsStudAkkVO</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37 Abs. 4 Satz 1 und Abs. 5 SächsHSG</w:t>
            </w:r>
          </w:p>
        </w:tc>
        <w:tc>
          <w:tcPr>
            <w:tcW w:w="1134"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6 Abs. 2 SO</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SAP</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584344311"/>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14747238"/>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419144460"/>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825228862"/>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15</w:t>
            </w:r>
          </w:p>
        </w:tc>
        <w:tc>
          <w:tcPr>
            <w:tcW w:w="3208" w:type="dxa"/>
            <w:tcBorders/>
          </w:tcPr>
          <w:p>
            <w:pPr>
              <w:pStyle w:val="Normal"/>
              <w:widowControl/>
              <w:suppressAutoHyphens w:val="true"/>
              <w:spacing w:before="0" w:after="0"/>
              <w:jc w:val="start"/>
              <w:rPr>
                <w:rFonts w:ascii="Roboto" w:hAnsi="Roboto" w:cs="Calibri" w:cstheme="minorHAnsi"/>
                <w:color w:val="000000"/>
              </w:rPr>
            </w:pPr>
            <w:r>
              <w:rPr>
                <w:rFonts w:ascii="Roboto" w:hAnsi="Roboto"/>
                <w:kern w:val="0"/>
                <w:sz w:val="20"/>
                <w:szCs w:val="20"/>
                <w:lang w:val="de-DE" w:bidi="ar-SA"/>
              </w:rPr>
              <w:t>Die Arbeitslast ist über die Semester gleichverteilt (</w:t>
            </w:r>
            <w:r>
              <w:rPr>
                <w:rFonts w:cs="Calibri" w:ascii="Roboto" w:hAnsi="Roboto" w:cstheme="minorHAnsi"/>
                <w:color w:val="000000"/>
                <w:kern w:val="0"/>
                <w:sz w:val="20"/>
                <w:szCs w:val="20"/>
                <w:lang w:val="de-DE" w:bidi="ar-SA"/>
              </w:rPr>
              <w:t xml:space="preserve">i.d.R. 30 </w:t>
            </w:r>
            <w:r>
              <w:rPr>
                <w:rFonts w:ascii="Roboto" w:hAnsi="Roboto"/>
                <w:kern w:val="0"/>
                <w:sz w:val="20"/>
                <w:szCs w:val="20"/>
                <w:lang w:val="de-DE" w:bidi="ar-SA"/>
              </w:rPr>
              <w:t>ECTS-</w:t>
            </w:r>
            <w:r>
              <w:rPr>
                <w:rFonts w:cs="Calibri" w:ascii="Roboto" w:hAnsi="Roboto" w:cstheme="minorHAnsi"/>
                <w:color w:val="000000"/>
                <w:kern w:val="0"/>
                <w:sz w:val="20"/>
                <w:szCs w:val="20"/>
                <w:lang w:val="de-DE" w:bidi="ar-SA"/>
              </w:rPr>
              <w:t>LP je Semester)</w:t>
            </w:r>
            <w:r>
              <w:rPr>
                <w:rFonts w:ascii="Roboto" w:hAnsi="Roboto"/>
                <w:kern w:val="0"/>
                <w:sz w:val="20"/>
                <w:szCs w:val="20"/>
                <w:lang w:val="de-DE" w:bidi="ar-SA"/>
              </w:rPr>
              <w:t>.</w:t>
            </w:r>
            <w:r>
              <w:rPr>
                <w:rFonts w:cs="Calibri" w:ascii="Roboto" w:hAnsi="Roboto" w:cstheme="minorHAnsi"/>
                <w:kern w:val="0"/>
                <w:sz w:val="20"/>
                <w:szCs w:val="20"/>
                <w:lang w:val="de-DE" w:bidi="ar-SA"/>
              </w:rPr>
              <w:t xml:space="preserve"> *</w:t>
            </w:r>
          </w:p>
        </w:tc>
        <w:tc>
          <w:tcPr>
            <w:tcW w:w="1842"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8 Abs. 1 Satz 2 und § 12 Abs. 6 Satz 2 Nr. 3 SächsStudAkkVO</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Senatsbeschluss 28.01.2020</w:t>
            </w:r>
          </w:p>
        </w:tc>
        <w:tc>
          <w:tcPr>
            <w:tcW w:w="1134" w:type="dxa"/>
            <w:tcBorders/>
          </w:tcPr>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 xml:space="preserve">§ 24 Abs. 3 Satz 1 PO </w:t>
            </w:r>
          </w:p>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SAP</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79116953"/>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679458614"/>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erfüllt</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1257560422"/>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465397290"/>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cstheme="minorHAnsi" w:ascii="Roboto" w:hAnsi="Roboto"/>
                <w:kern w:val="0"/>
                <w:sz w:val="20"/>
                <w:szCs w:val="20"/>
                <w:lang w:val="de-DE" w:bidi="ar-SA"/>
              </w:rPr>
            </w:r>
          </w:p>
        </w:tc>
        <w:tc>
          <w:tcPr>
            <w:tcW w:w="7744" w:type="dxa"/>
            <w:gridSpan w:val="4"/>
            <w:tcBorders/>
          </w:tcPr>
          <w:p>
            <w:pPr>
              <w:pStyle w:val="Normal"/>
              <w:widowControl/>
              <w:tabs>
                <w:tab w:val="clear" w:pos="708"/>
                <w:tab w:val="left" w:pos="3600" w:leader="none"/>
              </w:tabs>
              <w:suppressAutoHyphens w:val="true"/>
              <w:spacing w:before="0" w:after="0"/>
              <w:jc w:val="both"/>
              <w:rPr>
                <w:rFonts w:ascii="Roboto" w:hAnsi="Roboto"/>
              </w:rPr>
            </w:pPr>
            <w:r>
              <w:rPr>
                <w:rFonts w:cs="Calibri" w:ascii="Roboto" w:hAnsi="Roboto" w:cstheme="minorHAnsi"/>
                <w:color w:val="000000"/>
                <w:kern w:val="0"/>
                <w:sz w:val="18"/>
                <w:szCs w:val="18"/>
                <w:lang w:val="de-DE" w:bidi="ar-SA"/>
              </w:rPr>
              <w:t xml:space="preserve">* </w:t>
            </w:r>
            <w:r>
              <w:rPr>
                <w:rFonts w:ascii="Roboto" w:hAnsi="Roboto"/>
                <w:kern w:val="0"/>
                <w:sz w:val="18"/>
                <w:szCs w:val="18"/>
                <w:lang w:val="de-DE" w:bidi="ar-SA"/>
              </w:rPr>
              <w:t>Die Anforderung der Gleichverteilung gilt nach dem Senatsbeschluss vom 28.01.2020 dann als erfüllt, wenn ein Korridor von 27 bis 33 ECTS-LP eingehalten wird. Wird von diesem Korridor abgewichen, gilt die Anforderung als nicht erfüllt und es muss hier eine Begründung erfolgen. Die Begründung sollte Bezug auf die Arbeitsbelastung der Studierenden nehmen. Bei 30 Arbeitsstunden für einen ECTS-LP beträgt die Arbeitsbelastung im Vollzeitstudium pro Semester in der Vorlesungs- und vorlesungsfreien Zeit 900 Arbeitsstunden, pro Studienjahr 1800 Arbeitsstunden). Dies entspricht 32 bis 39 Arbeitsstunden pro Woche bei 46 Wochen pro Jahr) (vgl. Begründungstext § 8 Abs. 1 Satz 3 MRVO).</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r>
              <w:rPr>
                <w:rFonts w:ascii="Roboto" w:hAnsi="Roboto"/>
                <w:kern w:val="0"/>
                <w:sz w:val="20"/>
                <w:szCs w:val="20"/>
                <w:lang w:val="de-DE" w:bidi="ar-SA"/>
              </w:rPr>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cstheme="minorHAnsi" w:ascii="Roboto" w:hAnsi="Roboto"/>
                <w:kern w:val="0"/>
                <w:sz w:val="20"/>
                <w:szCs w:val="20"/>
                <w:lang w:val="de-DE" w:bidi="ar-SA"/>
              </w:rPr>
            </w:r>
          </w:p>
        </w:tc>
        <w:tc>
          <w:tcPr>
            <w:tcW w:w="7744" w:type="dxa"/>
            <w:gridSpan w:val="4"/>
            <w:tcBorders/>
          </w:tcPr>
          <w:p>
            <w:pPr>
              <w:pStyle w:val="Normal"/>
              <w:widowControl/>
              <w:tabs>
                <w:tab w:val="clear" w:pos="708"/>
                <w:tab w:val="left" w:pos="3600" w:leader="none"/>
              </w:tabs>
              <w:suppressAutoHyphens w:val="true"/>
              <w:spacing w:before="0" w:after="0"/>
              <w:jc w:val="both"/>
              <w:rPr>
                <w:rFonts w:ascii="Roboto" w:hAnsi="Roboto" w:cs="Calibri" w:cstheme="minorHAnsi"/>
                <w:i/>
                <w:iCs/>
                <w:color w:val="000000"/>
                <w:sz w:val="18"/>
                <w:szCs w:val="18"/>
              </w:rPr>
            </w:pPr>
            <w:r>
              <w:rPr>
                <w:rFonts w:cs="Calibri" w:ascii="Roboto" w:hAnsi="Roboto" w:cstheme="minorHAnsi"/>
                <w:i/>
                <w:iCs/>
                <w:color w:val="000000"/>
                <w:kern w:val="0"/>
                <w:sz w:val="18"/>
                <w:szCs w:val="18"/>
                <w:lang w:val="de-DE" w:bidi="ar-SA"/>
              </w:rPr>
              <w:t xml:space="preserve">Hinweise / Begründung bei Abweichungen: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cs="Calibri" w:cstheme="minorHAnsi"/>
                <w:color w:val="000000"/>
                <w:sz w:val="18"/>
                <w:szCs w:val="18"/>
              </w:rPr>
            </w:pPr>
            <w:r>
              <w:rPr>
                <w:rFonts w:cs="Calibri" w:cstheme="minorHAnsi" w:ascii="Roboto" w:hAnsi="Roboto"/>
                <w:color w:val="000000"/>
                <w:kern w:val="0"/>
                <w:sz w:val="18"/>
                <w:szCs w:val="18"/>
                <w:lang w:val="de-DE" w:bidi="ar-SA"/>
              </w:rPr>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16</w:t>
            </w:r>
          </w:p>
        </w:tc>
        <w:tc>
          <w:tcPr>
            <w:tcW w:w="3208" w:type="dxa"/>
            <w:tcBorders/>
          </w:tcPr>
          <w:p>
            <w:pPr>
              <w:pStyle w:val="Normal"/>
              <w:widowControl/>
              <w:suppressAutoHyphens w:val="true"/>
              <w:spacing w:before="0" w:after="0"/>
              <w:jc w:val="start"/>
              <w:rPr>
                <w:rFonts w:ascii="Roboto" w:hAnsi="Roboto"/>
              </w:rPr>
            </w:pPr>
            <w:r>
              <w:rPr>
                <w:rFonts w:cs="Calibri" w:ascii="Roboto" w:hAnsi="Roboto" w:cstheme="minorHAnsi"/>
                <w:color w:val="000000"/>
                <w:kern w:val="0"/>
                <w:sz w:val="20"/>
                <w:szCs w:val="20"/>
                <w:lang w:val="de-DE" w:bidi="ar-SA"/>
              </w:rPr>
              <w:t xml:space="preserve">Module sind in der Regel nicht kleiner als fünf ECTS-LP. </w:t>
            </w:r>
            <w:r>
              <w:rPr>
                <w:rFonts w:cs="Calibri" w:ascii="Roboto" w:hAnsi="Roboto" w:cstheme="minorHAnsi"/>
                <w:kern w:val="0"/>
                <w:sz w:val="20"/>
                <w:szCs w:val="20"/>
                <w:lang w:val="de-DE" w:bidi="ar-SA"/>
              </w:rPr>
              <w:t>*</w:t>
            </w:r>
          </w:p>
        </w:tc>
        <w:tc>
          <w:tcPr>
            <w:tcW w:w="1842"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12 Abs. 6 Satz 2 Nr. 4 SächsStudAkkVO</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Senatsbeschluss 28.01.2020</w:t>
            </w:r>
          </w:p>
        </w:tc>
        <w:tc>
          <w:tcPr>
            <w:tcW w:w="1134"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6 Abs. 1 SO</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25 Abs. 1 PO</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SAP </w:t>
            </w:r>
          </w:p>
          <w:p>
            <w:pPr>
              <w:pStyle w:val="Normal"/>
              <w:widowControl/>
              <w:suppressAutoHyphens w:val="true"/>
              <w:spacing w:before="0" w:after="0"/>
              <w:jc w:val="start"/>
              <w:rPr>
                <w:rFonts w:ascii="Roboto" w:hAnsi="Roboto"/>
                <w:sz w:val="16"/>
                <w:szCs w:val="16"/>
              </w:rPr>
            </w:pPr>
            <w:r>
              <w:rPr>
                <w:rFonts w:cs="Calibri" w:ascii="Roboto" w:hAnsi="Roboto" w:cstheme="minorHAnsi"/>
                <w:kern w:val="0"/>
                <w:sz w:val="16"/>
                <w:szCs w:val="16"/>
                <w:lang w:val="de-DE" w:bidi="ar-SA"/>
              </w:rPr>
              <w:t xml:space="preserve">MB </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1462615107"/>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967053930"/>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erfüllt</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767391976"/>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Regel erfüllt</w:t>
            </w:r>
          </w:p>
          <w:p>
            <w:pPr>
              <w:pStyle w:val="Normal"/>
              <w:widowControl/>
              <w:tabs>
                <w:tab w:val="clear" w:pos="708"/>
                <w:tab w:val="left" w:pos="3600" w:leader="none"/>
              </w:tabs>
              <w:suppressAutoHyphens w:val="true"/>
              <w:spacing w:before="0" w:after="0"/>
              <w:jc w:val="start"/>
              <w:rPr>
                <w:rFonts w:ascii="Roboto" w:hAnsi="Roboto"/>
              </w:rPr>
            </w:pPr>
            <w:sdt>
              <w:sdtPr>
                <w:id w:val="229739331"/>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Regel nicht erfüllt, Begründung liegt vor</w:t>
            </w:r>
          </w:p>
          <w:p>
            <w:pPr>
              <w:pStyle w:val="Normal"/>
              <w:widowControl/>
              <w:tabs>
                <w:tab w:val="clear" w:pos="708"/>
                <w:tab w:val="left" w:pos="3600" w:leader="none"/>
              </w:tabs>
              <w:suppressAutoHyphens w:val="true"/>
              <w:spacing w:before="0" w:after="0"/>
              <w:jc w:val="start"/>
              <w:rPr>
                <w:rFonts w:ascii="Roboto" w:hAnsi="Roboto"/>
              </w:rPr>
            </w:pPr>
            <w:sdt>
              <w:sdtPr>
                <w:id w:val="101614784"/>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Regel nicht erfüllt, Begründung liegt nicht vor</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cstheme="minorHAnsi" w:ascii="Roboto" w:hAnsi="Roboto"/>
                <w:kern w:val="0"/>
                <w:sz w:val="20"/>
                <w:szCs w:val="20"/>
                <w:lang w:val="de-DE" w:bidi="ar-SA"/>
              </w:rPr>
            </w:r>
          </w:p>
        </w:tc>
        <w:tc>
          <w:tcPr>
            <w:tcW w:w="7744" w:type="dxa"/>
            <w:gridSpan w:val="4"/>
            <w:tcBorders/>
          </w:tcPr>
          <w:p>
            <w:pPr>
              <w:pStyle w:val="Normal"/>
              <w:widowControl/>
              <w:tabs>
                <w:tab w:val="clear" w:pos="708"/>
                <w:tab w:val="left" w:pos="3600" w:leader="none"/>
              </w:tabs>
              <w:suppressAutoHyphens w:val="true"/>
              <w:spacing w:before="0" w:after="0"/>
              <w:jc w:val="both"/>
              <w:rPr>
                <w:rFonts w:ascii="Roboto" w:hAnsi="Roboto" w:cs="Calibri" w:cstheme="minorHAnsi"/>
                <w:color w:val="000000"/>
                <w:sz w:val="18"/>
                <w:szCs w:val="18"/>
              </w:rPr>
            </w:pPr>
            <w:r>
              <w:rPr>
                <w:rFonts w:cs="Calibri" w:ascii="Roboto" w:hAnsi="Roboto" w:cstheme="minorHAnsi"/>
                <w:color w:val="000000"/>
                <w:kern w:val="0"/>
                <w:sz w:val="18"/>
                <w:szCs w:val="18"/>
                <w:lang w:val="de-DE" w:bidi="ar-SA"/>
              </w:rPr>
              <w:t xml:space="preserve">* In der SächsStudAkkVO steht die Modulgröße im Zusammenhang mit einer adäquaten und belastungsangemessenen Prüfungsdichte. Angenommen wird, dass sechs Prüfungen pro Semester angemessen sind. Bei i.d.R. 30 ECTS-LP pro Semester ergibt sich eine Modulmindestgröße von fünf ECTS-LP. </w:t>
            </w:r>
          </w:p>
          <w:p>
            <w:pPr>
              <w:pStyle w:val="Normal"/>
              <w:widowControl/>
              <w:tabs>
                <w:tab w:val="clear" w:pos="708"/>
                <w:tab w:val="left" w:pos="3600" w:leader="none"/>
              </w:tabs>
              <w:suppressAutoHyphens w:val="true"/>
              <w:spacing w:before="0" w:after="0"/>
              <w:jc w:val="both"/>
              <w:rPr>
                <w:rFonts w:ascii="Roboto" w:hAnsi="Roboto"/>
                <w:sz w:val="18"/>
                <w:szCs w:val="18"/>
              </w:rPr>
            </w:pPr>
            <w:r>
              <w:rPr>
                <w:rFonts w:ascii="Roboto" w:hAnsi="Roboto"/>
                <w:kern w:val="0"/>
                <w:sz w:val="18"/>
                <w:szCs w:val="18"/>
                <w:lang w:val="de-DE" w:bidi="ar-SA"/>
              </w:rPr>
              <w:t xml:space="preserve">Das Kriterium entspricht dem Senatsbeschluss vom 28.01.2020 zur Modulgröße: „Der Senat legt für die Module an der Technischen Universität Chemnitz in der Regel eine Mindestgröße von fünf Leistungspunkten fest. Der Studiendekan hat in Abstimmung mit dem Modulverantwortlichen kleinere Modulgrößen zu begründen.“ </w:t>
            </w:r>
          </w:p>
          <w:p>
            <w:pPr>
              <w:pStyle w:val="Normal"/>
              <w:widowControl/>
              <w:tabs>
                <w:tab w:val="clear" w:pos="708"/>
                <w:tab w:val="left" w:pos="3600" w:leader="none"/>
              </w:tabs>
              <w:suppressAutoHyphens w:val="true"/>
              <w:spacing w:before="0" w:after="0"/>
              <w:jc w:val="both"/>
              <w:rPr>
                <w:rFonts w:ascii="Roboto" w:hAnsi="Roboto"/>
                <w:sz w:val="18"/>
                <w:szCs w:val="18"/>
              </w:rPr>
            </w:pPr>
            <w:r>
              <w:rPr>
                <w:rFonts w:ascii="Roboto" w:hAnsi="Roboto"/>
                <w:kern w:val="0"/>
                <w:sz w:val="18"/>
                <w:szCs w:val="18"/>
                <w:lang w:val="de-DE" w:bidi="ar-SA"/>
              </w:rPr>
              <w:t>„</w:t>
            </w:r>
            <w:r>
              <w:rPr>
                <w:rFonts w:ascii="Roboto" w:hAnsi="Roboto"/>
                <w:kern w:val="0"/>
                <w:sz w:val="18"/>
                <w:szCs w:val="18"/>
                <w:lang w:val="de-DE" w:bidi="ar-SA"/>
              </w:rPr>
              <w:t>In der Regel“ bedeutet, dass die geforderte Voraussetzung grundsätzlich/im Regelfall zu erfüllen ist. Im begründeten Fall sind jedoch Ausnahmen von dem Grundsatz/der Regel möglich.</w:t>
            </w:r>
          </w:p>
          <w:p>
            <w:pPr>
              <w:pStyle w:val="Normal"/>
              <w:widowControl/>
              <w:tabs>
                <w:tab w:val="clear" w:pos="708"/>
                <w:tab w:val="left" w:pos="3600" w:leader="none"/>
              </w:tabs>
              <w:suppressAutoHyphens w:val="true"/>
              <w:spacing w:before="0" w:after="0"/>
              <w:jc w:val="both"/>
              <w:rPr>
                <w:rFonts w:ascii="Roboto" w:hAnsi="Roboto"/>
                <w:sz w:val="18"/>
                <w:szCs w:val="18"/>
              </w:rPr>
            </w:pPr>
            <w:r>
              <w:rPr>
                <w:rFonts w:ascii="Roboto" w:hAnsi="Roboto"/>
                <w:kern w:val="0"/>
                <w:sz w:val="18"/>
                <w:szCs w:val="18"/>
                <w:lang w:val="de-DE" w:bidi="ar-SA"/>
              </w:rPr>
              <w:t xml:space="preserve">Entsprechen Module dieser Anforderung nicht, ist in Abhängigkeit von der Begründung über den Erfüllungsgrad des Kriteriums zu entscheiden. </w:t>
            </w:r>
          </w:p>
          <w:p>
            <w:pPr>
              <w:pStyle w:val="Normal"/>
              <w:widowControl/>
              <w:tabs>
                <w:tab w:val="clear" w:pos="708"/>
                <w:tab w:val="left" w:pos="3600" w:leader="none"/>
              </w:tabs>
              <w:suppressAutoHyphens w:val="true"/>
              <w:spacing w:before="0" w:after="0"/>
              <w:jc w:val="both"/>
              <w:rPr>
                <w:rFonts w:ascii="Roboto" w:hAnsi="Roboto" w:cs="Calibri" w:cstheme="minorHAnsi"/>
                <w:color w:val="000000"/>
                <w:sz w:val="18"/>
                <w:szCs w:val="18"/>
              </w:rPr>
            </w:pPr>
            <w:r>
              <w:rPr>
                <w:rFonts w:ascii="Roboto" w:hAnsi="Roboto"/>
                <w:kern w:val="0"/>
                <w:sz w:val="18"/>
                <w:szCs w:val="18"/>
                <w:lang w:val="de-DE" w:bidi="ar-SA"/>
              </w:rPr>
              <w:t>Es muss plausibel begründet werden, weshalb Module mit weniger als fünf ECTS-LP didaktisch sinnvoll sind und wie dennoch eine „</w:t>
            </w:r>
            <w:r>
              <w:rPr>
                <w:rFonts w:cs="Calibri" w:ascii="Roboto" w:hAnsi="Roboto" w:cstheme="minorHAnsi"/>
                <w:color w:val="000000"/>
                <w:kern w:val="0"/>
                <w:sz w:val="18"/>
                <w:szCs w:val="18"/>
                <w:lang w:val="de-DE" w:bidi="ar-SA"/>
              </w:rPr>
              <w:t xml:space="preserve">adäquate und belastungsangemessene Prüfungsdichte“ im Studiengang gewährleistet ist.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cs="Calibri" w:cstheme="minorHAnsi"/>
                <w:color w:val="000000"/>
                <w:sz w:val="18"/>
                <w:szCs w:val="18"/>
              </w:rPr>
            </w:pPr>
            <w:r>
              <w:rPr>
                <w:rFonts w:cs="Calibri" w:cstheme="minorHAnsi" w:ascii="Roboto" w:hAnsi="Roboto"/>
                <w:color w:val="000000"/>
                <w:kern w:val="0"/>
                <w:sz w:val="18"/>
                <w:szCs w:val="18"/>
                <w:lang w:val="de-DE" w:bidi="ar-SA"/>
              </w:rPr>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cstheme="minorHAnsi" w:ascii="Roboto" w:hAnsi="Roboto"/>
                <w:kern w:val="0"/>
                <w:sz w:val="20"/>
                <w:szCs w:val="20"/>
                <w:lang w:val="de-DE" w:bidi="ar-SA"/>
              </w:rPr>
            </w:r>
          </w:p>
        </w:tc>
        <w:tc>
          <w:tcPr>
            <w:tcW w:w="7744" w:type="dxa"/>
            <w:gridSpan w:val="4"/>
            <w:tcBorders/>
          </w:tcPr>
          <w:p>
            <w:pPr>
              <w:pStyle w:val="Normal"/>
              <w:widowControl/>
              <w:tabs>
                <w:tab w:val="clear" w:pos="708"/>
                <w:tab w:val="left" w:pos="3600" w:leader="none"/>
              </w:tabs>
              <w:suppressAutoHyphens w:val="true"/>
              <w:spacing w:before="0" w:after="0"/>
              <w:jc w:val="both"/>
              <w:rPr>
                <w:rFonts w:ascii="Roboto" w:hAnsi="Roboto" w:cs="Calibri" w:cstheme="minorHAnsi"/>
                <w:color w:val="000000"/>
              </w:rPr>
            </w:pPr>
            <w:r>
              <w:rPr>
                <w:rFonts w:cs="Calibri" w:ascii="Roboto" w:hAnsi="Roboto" w:cstheme="minorHAnsi"/>
                <w:i/>
                <w:iCs/>
                <w:color w:val="000000"/>
                <w:kern w:val="0"/>
                <w:sz w:val="18"/>
                <w:szCs w:val="18"/>
                <w:lang w:val="de-DE" w:bidi="ar-SA"/>
              </w:rPr>
              <w:t xml:space="preserve">Hinweise / Begründung bei Abweichungen: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cs="Calibri" w:cstheme="minorHAnsi"/>
                <w:color w:val="000000"/>
              </w:rPr>
            </w:pPr>
            <w:r>
              <w:rPr>
                <w:rFonts w:cs="Calibri" w:ascii="Roboto" w:hAnsi="Roboto" w:cstheme="minorHAnsi"/>
                <w:color w:val="000000"/>
                <w:kern w:val="0"/>
                <w:sz w:val="20"/>
                <w:szCs w:val="20"/>
                <w:lang w:val="de-DE" w:bidi="ar-SA"/>
              </w:rPr>
              <w:t>ggf. Anmerkungen zur Begründung</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17</w:t>
            </w:r>
          </w:p>
        </w:tc>
        <w:tc>
          <w:tcPr>
            <w:tcW w:w="3208" w:type="dxa"/>
            <w:tcBorders/>
          </w:tcPr>
          <w:p>
            <w:pPr>
              <w:pStyle w:val="Normal"/>
              <w:widowControl/>
              <w:suppressAutoHyphens w:val="true"/>
              <w:spacing w:before="0" w:after="0"/>
              <w:jc w:val="start"/>
              <w:rPr>
                <w:rFonts w:ascii="Roboto" w:hAnsi="Roboto" w:cs="Calibri" w:cstheme="minorHAnsi"/>
                <w:color w:val="000000"/>
              </w:rPr>
            </w:pPr>
            <w:r>
              <w:rPr>
                <w:rFonts w:cs="Calibri" w:ascii="Roboto" w:hAnsi="Roboto" w:cstheme="minorHAnsi"/>
                <w:color w:val="000000"/>
                <w:kern w:val="0"/>
                <w:sz w:val="20"/>
                <w:szCs w:val="20"/>
                <w:lang w:val="de-DE" w:bidi="ar-SA"/>
              </w:rPr>
              <w:t>Module gehen in der Regel über zwei</w:t>
            </w:r>
            <w:r>
              <w:rPr>
                <w:kern w:val="0"/>
                <w:sz w:val="20"/>
                <w:szCs w:val="20"/>
                <w:lang w:val="de-DE" w:bidi="ar-SA"/>
              </w:rPr>
              <w:t xml:space="preserve"> aufeinander folgende</w:t>
            </w:r>
            <w:r>
              <w:rPr>
                <w:rFonts w:cs="Calibri" w:ascii="Roboto" w:hAnsi="Roboto" w:cstheme="minorHAnsi"/>
                <w:color w:val="000000"/>
                <w:kern w:val="0"/>
                <w:sz w:val="20"/>
                <w:szCs w:val="20"/>
                <w:lang w:val="de-DE" w:bidi="ar-SA"/>
              </w:rPr>
              <w:t xml:space="preserve"> Semester. </w:t>
            </w:r>
            <w:r>
              <w:rPr>
                <w:rFonts w:ascii="Roboto" w:hAnsi="Roboto"/>
                <w:kern w:val="0"/>
                <w:sz w:val="20"/>
                <w:szCs w:val="20"/>
                <w:lang w:val="de-DE" w:bidi="ar-SA"/>
              </w:rPr>
              <w:t>*</w:t>
            </w:r>
          </w:p>
        </w:tc>
        <w:tc>
          <w:tcPr>
            <w:tcW w:w="1842" w:type="dxa"/>
            <w:tcBorders/>
          </w:tcPr>
          <w:p>
            <w:pPr>
              <w:pStyle w:val="Normal"/>
              <w:widowControl/>
              <w:suppressAutoHyphens w:val="true"/>
              <w:spacing w:before="0" w:after="0"/>
              <w:jc w:val="start"/>
              <w:rPr>
                <w:rFonts w:cstheme="minorHAnsi"/>
                <w:kern w:val="0"/>
                <w:sz w:val="20"/>
                <w:szCs w:val="20"/>
                <w:highlight w:val="none"/>
                <w:shd w:fill="auto" w:val="clear"/>
                <w:lang w:val="de-DE" w:bidi="ar-SA"/>
              </w:rPr>
            </w:pPr>
            <w:r>
              <w:rPr>
                <w:rFonts w:cs="Calibri" w:cstheme="minorHAnsi" w:ascii="Roboto" w:hAnsi="Roboto"/>
                <w:kern w:val="0"/>
                <w:sz w:val="16"/>
                <w:szCs w:val="16"/>
                <w:shd w:fill="auto" w:val="clear"/>
                <w:lang w:val="de-DE" w:bidi="ar-SA"/>
              </w:rPr>
              <w:t>§ 7 Abs. 1 Satz 2 SächsStudAkkVO</w:t>
            </w:r>
          </w:p>
          <w:p>
            <w:pPr>
              <w:pStyle w:val="Normal"/>
              <w:widowControl/>
              <w:suppressAutoHyphens w:val="true"/>
              <w:spacing w:before="0" w:after="0"/>
              <w:jc w:val="start"/>
              <w:rPr>
                <w:rFonts w:cstheme="minorHAnsi"/>
                <w:kern w:val="0"/>
                <w:sz w:val="20"/>
                <w:szCs w:val="20"/>
                <w:highlight w:val="none"/>
                <w:shd w:fill="auto" w:val="clear"/>
                <w:lang w:val="de-DE" w:bidi="ar-SA"/>
              </w:rPr>
            </w:pPr>
            <w:r>
              <w:rPr>
                <w:rFonts w:cs="Calibri" w:cstheme="minorHAnsi" w:ascii="Roboto" w:hAnsi="Roboto"/>
                <w:kern w:val="0"/>
                <w:sz w:val="16"/>
                <w:szCs w:val="16"/>
                <w:shd w:fill="auto" w:val="clear"/>
                <w:lang w:val="de-DE" w:bidi="ar-SA"/>
              </w:rPr>
              <w:t>Senatsbeschluss 28.01.2020</w:t>
            </w:r>
          </w:p>
        </w:tc>
        <w:tc>
          <w:tcPr>
            <w:tcW w:w="1134"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MB </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SAP </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517935388"/>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249250205"/>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erfüllt</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737020692"/>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Regel erfüllt</w:t>
            </w:r>
          </w:p>
          <w:p>
            <w:pPr>
              <w:pStyle w:val="Normal"/>
              <w:widowControl/>
              <w:tabs>
                <w:tab w:val="clear" w:pos="708"/>
                <w:tab w:val="left" w:pos="3600" w:leader="none"/>
              </w:tabs>
              <w:suppressAutoHyphens w:val="true"/>
              <w:spacing w:before="0" w:after="0"/>
              <w:jc w:val="start"/>
              <w:rPr>
                <w:rFonts w:ascii="Roboto" w:hAnsi="Roboto"/>
              </w:rPr>
            </w:pPr>
            <w:sdt>
              <w:sdtPr>
                <w:id w:val="1642153629"/>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Regel nicht erfüllt, Begründung liegt vor</w:t>
            </w:r>
          </w:p>
          <w:p>
            <w:pPr>
              <w:pStyle w:val="Normal"/>
              <w:widowControl/>
              <w:tabs>
                <w:tab w:val="clear" w:pos="708"/>
                <w:tab w:val="left" w:pos="3600" w:leader="none"/>
              </w:tabs>
              <w:suppressAutoHyphens w:val="true"/>
              <w:spacing w:before="0" w:after="0"/>
              <w:jc w:val="start"/>
              <w:rPr>
                <w:rFonts w:ascii="Roboto" w:hAnsi="Roboto"/>
              </w:rPr>
            </w:pPr>
            <w:sdt>
              <w:sdtPr>
                <w:id w:val="1263346582"/>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Regel nicht erfüllt, Begründung liegt nicht vor</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cstheme="minorHAnsi" w:ascii="Roboto" w:hAnsi="Roboto"/>
                <w:kern w:val="0"/>
                <w:sz w:val="20"/>
                <w:szCs w:val="20"/>
                <w:lang w:val="de-DE" w:bidi="ar-SA"/>
              </w:rPr>
            </w:r>
          </w:p>
        </w:tc>
        <w:tc>
          <w:tcPr>
            <w:tcW w:w="7744" w:type="dxa"/>
            <w:gridSpan w:val="4"/>
            <w:tcBorders/>
          </w:tcPr>
          <w:p>
            <w:pPr>
              <w:pStyle w:val="Normal"/>
              <w:widowControl/>
              <w:tabs>
                <w:tab w:val="clear" w:pos="708"/>
                <w:tab w:val="left" w:pos="3600" w:leader="none"/>
              </w:tabs>
              <w:suppressAutoHyphens w:val="true"/>
              <w:spacing w:before="0" w:after="0"/>
              <w:jc w:val="both"/>
              <w:rPr>
                <w:rFonts w:ascii="Roboto" w:hAnsi="Roboto"/>
                <w:sz w:val="18"/>
                <w:szCs w:val="18"/>
              </w:rPr>
            </w:pPr>
            <w:r>
              <w:rPr>
                <w:rFonts w:cs="Calibri" w:ascii="Roboto" w:hAnsi="Roboto" w:cstheme="minorHAnsi"/>
                <w:color w:val="000000"/>
                <w:kern w:val="0"/>
                <w:sz w:val="18"/>
                <w:szCs w:val="18"/>
                <w:lang w:val="de-DE" w:bidi="ar-SA"/>
              </w:rPr>
              <w:t>* Der Senat der TU Chemnitz hat am 28.01.2020 festgelegt, dass Module „</w:t>
            </w:r>
            <w:r>
              <w:rPr>
                <w:rFonts w:ascii="Roboto" w:hAnsi="Roboto"/>
                <w:kern w:val="0"/>
                <w:sz w:val="18"/>
                <w:szCs w:val="18"/>
                <w:lang w:val="de-DE" w:bidi="ar-SA"/>
              </w:rPr>
              <w:t>in der Regel innerhalb von höchstens zwei aufeinander folgenden Semestern abgeschlossen werden können. In besonders begründeten Ausnahmefällen kann sich ein Modul auch über mehr als zwei Semester erstrecken.“ (entspricht § 7 Abs. 1 Satz 2 SächsStudAkkVO)</w:t>
            </w:r>
          </w:p>
          <w:p>
            <w:pPr>
              <w:pStyle w:val="Normal"/>
              <w:widowControl/>
              <w:tabs>
                <w:tab w:val="clear" w:pos="708"/>
                <w:tab w:val="left" w:pos="3600" w:leader="none"/>
              </w:tabs>
              <w:suppressAutoHyphens w:val="true"/>
              <w:spacing w:before="0" w:after="0"/>
              <w:jc w:val="both"/>
              <w:rPr>
                <w:rFonts w:ascii="Roboto" w:hAnsi="Roboto"/>
                <w:sz w:val="18"/>
                <w:szCs w:val="18"/>
              </w:rPr>
            </w:pPr>
            <w:r>
              <w:rPr>
                <w:rFonts w:ascii="Roboto" w:hAnsi="Roboto"/>
                <w:kern w:val="0"/>
                <w:sz w:val="18"/>
                <w:szCs w:val="18"/>
                <w:lang w:val="de-DE" w:bidi="ar-SA"/>
              </w:rPr>
              <w:t>„</w:t>
            </w:r>
            <w:r>
              <w:rPr>
                <w:rFonts w:ascii="Roboto" w:hAnsi="Roboto"/>
                <w:kern w:val="0"/>
                <w:sz w:val="18"/>
                <w:szCs w:val="18"/>
                <w:lang w:val="de-DE" w:bidi="ar-SA"/>
              </w:rPr>
              <w:t>In der Regel“ bedeutet, dass die geforderte Voraussetzung grundsätzlich/im Regelfall zu erfüllen ist. Im begründeten Fall sind jedoch Ausnahmen von dem Grundsatz/der Regel möglich.</w:t>
            </w:r>
          </w:p>
          <w:p>
            <w:pPr>
              <w:pStyle w:val="Normal"/>
              <w:widowControl/>
              <w:tabs>
                <w:tab w:val="clear" w:pos="708"/>
                <w:tab w:val="left" w:pos="3600" w:leader="none"/>
              </w:tabs>
              <w:suppressAutoHyphens w:val="true"/>
              <w:spacing w:before="0" w:after="0"/>
              <w:jc w:val="both"/>
              <w:rPr>
                <w:rFonts w:ascii="Roboto" w:hAnsi="Roboto" w:cs="Calibri" w:cstheme="minorHAnsi"/>
                <w:color w:val="000000"/>
                <w:sz w:val="18"/>
                <w:szCs w:val="18"/>
              </w:rPr>
            </w:pPr>
            <w:r>
              <w:rPr>
                <w:rFonts w:ascii="Roboto" w:hAnsi="Roboto"/>
                <w:kern w:val="0"/>
                <w:sz w:val="18"/>
                <w:szCs w:val="18"/>
                <w:lang w:val="de-DE" w:bidi="ar-SA"/>
              </w:rPr>
              <w:t xml:space="preserve">Entsprechen Module dieser Anforderung nicht, ist in Abhängigkeit von der Begründung über den Erfüllungsgrad des Kriteriums zu entscheiden. Es muss für jedes Modul plausibel begründet werden, weshalb es sich über mehr als zwei Semester erstreckt. Die Begründung muss insbesondere aufzeigen, dass keine Mobilitätseinschränkung vorliegt oder diese durch Maßnahmen ausgeglichen werden wird </w:t>
            </w:r>
            <w:r>
              <w:rPr>
                <w:rFonts w:cs="Calibri" w:ascii="Roboto" w:hAnsi="Roboto" w:cstheme="minorHAnsi"/>
                <w:color w:val="000000"/>
                <w:kern w:val="0"/>
                <w:sz w:val="18"/>
                <w:szCs w:val="18"/>
                <w:lang w:val="de-DE" w:bidi="ar-SA"/>
              </w:rPr>
              <w:t xml:space="preserve">(vgl. Begründungstext der Musterrechtsverordnung zu § 7). </w:t>
            </w:r>
          </w:p>
        </w:tc>
        <w:tc>
          <w:tcPr>
            <w:tcW w:w="1559" w:type="dxa"/>
            <w:tcBorders/>
          </w:tcPr>
          <w:p>
            <w:pPr>
              <w:pStyle w:val="Normal"/>
              <w:widowControl/>
              <w:tabs>
                <w:tab w:val="clear" w:pos="708"/>
                <w:tab w:val="left" w:pos="3600" w:leader="none"/>
              </w:tabs>
              <w:suppressAutoHyphens w:val="true"/>
              <w:spacing w:before="0" w:after="0"/>
              <w:jc w:val="both"/>
              <w:rPr>
                <w:rFonts w:ascii="Roboto" w:hAnsi="Roboto" w:cs="Calibri" w:cstheme="minorHAnsi"/>
                <w:color w:val="000000"/>
                <w:sz w:val="18"/>
                <w:szCs w:val="18"/>
              </w:rPr>
            </w:pPr>
            <w:r>
              <w:rPr>
                <w:rFonts w:cs="Calibri" w:cstheme="minorHAnsi" w:ascii="Roboto" w:hAnsi="Roboto"/>
                <w:color w:val="000000"/>
                <w:kern w:val="0"/>
                <w:sz w:val="18"/>
                <w:szCs w:val="18"/>
                <w:lang w:val="de-DE" w:bidi="ar-SA"/>
              </w:rPr>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cstheme="minorHAnsi" w:ascii="Roboto" w:hAnsi="Roboto"/>
                <w:kern w:val="0"/>
                <w:sz w:val="20"/>
                <w:szCs w:val="20"/>
                <w:lang w:val="de-DE" w:bidi="ar-SA"/>
              </w:rPr>
            </w:r>
          </w:p>
        </w:tc>
        <w:tc>
          <w:tcPr>
            <w:tcW w:w="7744" w:type="dxa"/>
            <w:gridSpan w:val="4"/>
            <w:tcBorders/>
          </w:tcPr>
          <w:p>
            <w:pPr>
              <w:pStyle w:val="Normal"/>
              <w:widowControl/>
              <w:tabs>
                <w:tab w:val="clear" w:pos="708"/>
                <w:tab w:val="left" w:pos="3600" w:leader="none"/>
              </w:tabs>
              <w:suppressAutoHyphens w:val="true"/>
              <w:spacing w:before="0" w:after="0"/>
              <w:jc w:val="both"/>
              <w:rPr>
                <w:rFonts w:ascii="Roboto" w:hAnsi="Roboto" w:cs="Calibri" w:cstheme="minorHAnsi"/>
                <w:color w:val="000000"/>
              </w:rPr>
            </w:pPr>
            <w:r>
              <w:rPr>
                <w:rFonts w:cs="Calibri" w:ascii="Roboto" w:hAnsi="Roboto" w:cstheme="minorHAnsi"/>
                <w:i/>
                <w:iCs/>
                <w:color w:val="000000"/>
                <w:kern w:val="0"/>
                <w:sz w:val="18"/>
                <w:szCs w:val="18"/>
                <w:lang w:val="de-DE" w:bidi="ar-SA"/>
              </w:rPr>
              <w:t xml:space="preserve">Hinweise / Begründung bei Abweichungen: </w:t>
            </w:r>
          </w:p>
        </w:tc>
        <w:tc>
          <w:tcPr>
            <w:tcW w:w="1559" w:type="dxa"/>
            <w:tcBorders/>
          </w:tcPr>
          <w:p>
            <w:pPr>
              <w:pStyle w:val="Normal"/>
              <w:widowControl/>
              <w:tabs>
                <w:tab w:val="clear" w:pos="708"/>
                <w:tab w:val="left" w:pos="3600" w:leader="none"/>
              </w:tabs>
              <w:suppressAutoHyphens w:val="true"/>
              <w:spacing w:before="0" w:after="0"/>
              <w:jc w:val="both"/>
              <w:rPr>
                <w:rFonts w:ascii="Roboto" w:hAnsi="Roboto" w:cs="Calibri" w:cstheme="minorHAnsi"/>
                <w:color w:val="000000"/>
              </w:rPr>
            </w:pPr>
            <w:r>
              <w:rPr>
                <w:rFonts w:cs="Calibri" w:cstheme="minorHAnsi" w:ascii="Roboto" w:hAnsi="Roboto"/>
                <w:color w:val="000000"/>
                <w:kern w:val="0"/>
                <w:sz w:val="20"/>
                <w:szCs w:val="20"/>
                <w:lang w:val="de-DE" w:bidi="ar-SA"/>
              </w:rPr>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18</w:t>
            </w:r>
          </w:p>
        </w:tc>
        <w:tc>
          <w:tcPr>
            <w:tcW w:w="3208" w:type="dxa"/>
            <w:tcBorders/>
          </w:tcPr>
          <w:p>
            <w:pPr>
              <w:pStyle w:val="Normal"/>
              <w:widowControl/>
              <w:suppressAutoHyphens w:val="true"/>
              <w:spacing w:before="0" w:after="0"/>
              <w:jc w:val="start"/>
              <w:rPr>
                <w:rFonts w:ascii="Roboto" w:hAnsi="Roboto" w:cs="Calibri" w:cstheme="minorHAnsi"/>
                <w:color w:val="000000"/>
                <w:highlight w:val="yellow"/>
              </w:rPr>
            </w:pPr>
            <w:r>
              <w:rPr>
                <w:rFonts w:ascii="Roboto" w:hAnsi="Roboto"/>
                <w:kern w:val="0"/>
                <w:sz w:val="20"/>
                <w:szCs w:val="20"/>
                <w:lang w:val="de-DE" w:bidi="ar-SA"/>
              </w:rPr>
              <w:t>Eine adäquate und belastungsangemessene Prüfungsdichte und -organisation, die in einem Prüfungskonzept stimmig begründet wird und deren Belastungsangemessenheit regelmäßig unter Einbeziehung der Studierenden im Rahmen der Weiterentwicklung des Studienganges im Sinne von § 14 bewertet wird, ist gewährleistet.</w:t>
            </w:r>
          </w:p>
        </w:tc>
        <w:tc>
          <w:tcPr>
            <w:tcW w:w="1842"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12 Abs. 6 Satz 2 Nr. 4 SächsStudAkkVO</w:t>
            </w:r>
          </w:p>
          <w:p>
            <w:pPr>
              <w:pStyle w:val="Normal"/>
              <w:widowControl/>
              <w:suppressAutoHyphens w:val="true"/>
              <w:spacing w:before="0" w:after="0"/>
              <w:jc w:val="start"/>
              <w:rPr>
                <w:rFonts w:ascii="Roboto" w:hAnsi="Roboto" w:cs="Calibri" w:cstheme="minorHAnsi"/>
                <w:sz w:val="16"/>
                <w:szCs w:val="16"/>
              </w:rPr>
            </w:pPr>
            <w:r>
              <w:rPr>
                <w:rFonts w:cs="Calibri" w:cstheme="minorHAnsi" w:ascii="Roboto" w:hAnsi="Roboto"/>
                <w:kern w:val="0"/>
                <w:sz w:val="16"/>
                <w:szCs w:val="16"/>
                <w:lang w:val="de-DE" w:bidi="ar-SA"/>
              </w:rPr>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 37 Abs. 3 Satz 2 </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und § 35 Abs. 1 Satz 2 Nr. 6, 7 und 12 SächsHSG</w:t>
            </w:r>
          </w:p>
          <w:p>
            <w:pPr>
              <w:pStyle w:val="Normal"/>
              <w:widowControl/>
              <w:suppressAutoHyphens w:val="true"/>
              <w:spacing w:before="0" w:after="0"/>
              <w:jc w:val="start"/>
              <w:rPr>
                <w:rFonts w:ascii="Roboto" w:hAnsi="Roboto" w:cs="Calibri" w:cstheme="minorHAnsi"/>
                <w:sz w:val="16"/>
                <w:szCs w:val="16"/>
              </w:rPr>
            </w:pPr>
            <w:r>
              <w:rPr>
                <w:rFonts w:cs="Calibri" w:cstheme="minorHAnsi" w:ascii="Roboto" w:hAnsi="Roboto"/>
                <w:kern w:val="0"/>
                <w:sz w:val="16"/>
                <w:szCs w:val="16"/>
                <w:lang w:val="de-DE" w:bidi="ar-SA"/>
              </w:rPr>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Senatsbeschluss vom 27.01.2026</w:t>
            </w:r>
          </w:p>
        </w:tc>
        <w:tc>
          <w:tcPr>
            <w:tcW w:w="1134"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 2 Abs. 1 Satz 2, </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 5 bis 9, § 19 und § 25 Abs. 2 PO </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SAP</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MB</w:t>
            </w:r>
          </w:p>
          <w:p>
            <w:pPr>
              <w:pStyle w:val="Normal"/>
              <w:widowControl/>
              <w:suppressAutoHyphens w:val="true"/>
              <w:spacing w:before="0" w:after="0"/>
              <w:jc w:val="start"/>
              <w:rPr>
                <w:rFonts w:ascii="Roboto" w:hAnsi="Roboto" w:cs="Calibri" w:cstheme="minorHAnsi"/>
                <w:sz w:val="16"/>
                <w:szCs w:val="16"/>
              </w:rPr>
            </w:pPr>
            <w:r>
              <w:rPr>
                <w:rFonts w:cs="Calibri" w:cstheme="minorHAnsi" w:ascii="Roboto" w:hAnsi="Roboto"/>
                <w:kern w:val="0"/>
                <w:sz w:val="16"/>
                <w:szCs w:val="16"/>
                <w:lang w:val="de-DE" w:bidi="ar-SA"/>
              </w:rPr>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1812703316"/>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461036987"/>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 Prüfungs-konzept liegt vor</w:t>
            </w:r>
          </w:p>
          <w:p>
            <w:pPr>
              <w:pStyle w:val="Normal"/>
              <w:widowControl/>
              <w:tabs>
                <w:tab w:val="clear" w:pos="708"/>
                <w:tab w:val="left" w:pos="3600" w:leader="none"/>
              </w:tabs>
              <w:suppressAutoHyphens w:val="true"/>
              <w:spacing w:before="0" w:after="0"/>
              <w:jc w:val="start"/>
              <w:rPr>
                <w:rFonts w:ascii="Roboto" w:hAnsi="Roboto" w:cs="Calibri" w:cstheme="minorHAnsi"/>
                <w:sz w:val="16"/>
                <w:szCs w:val="16"/>
              </w:rPr>
            </w:pPr>
            <w:sdt>
              <w:sdtPr>
                <w:id w:val="-1413621980"/>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erfüllt</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1765880021"/>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240779520"/>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 Prüfungs-konzept liegt vor</w:t>
            </w:r>
          </w:p>
          <w:p>
            <w:pPr>
              <w:pStyle w:val="Normal"/>
              <w:widowControl/>
              <w:tabs>
                <w:tab w:val="clear" w:pos="708"/>
                <w:tab w:val="left" w:pos="3600" w:leader="none"/>
              </w:tabs>
              <w:suppressAutoHyphens w:val="true"/>
              <w:spacing w:before="0" w:after="0"/>
              <w:jc w:val="start"/>
              <w:rPr>
                <w:rFonts w:ascii="Roboto" w:hAnsi="Roboto"/>
              </w:rPr>
            </w:pPr>
            <w:sdt>
              <w:sdtPr>
                <w:id w:val="-1808071030"/>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erfüllt</w:t>
            </w:r>
            <w:r>
              <w:rPr>
                <w:rFonts w:ascii="Roboto" w:hAnsi="Roboto"/>
                <w:kern w:val="0"/>
                <w:sz w:val="20"/>
                <w:szCs w:val="20"/>
                <w:lang w:val="de-DE" w:bidi="ar-SA"/>
              </w:rPr>
              <w:t xml:space="preserve"> Begründung liegt nicht vor</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cstheme="minorHAnsi" w:ascii="Roboto" w:hAnsi="Roboto"/>
                <w:kern w:val="0"/>
                <w:sz w:val="20"/>
                <w:szCs w:val="20"/>
                <w:lang w:val="de-DE" w:bidi="ar-SA"/>
              </w:rPr>
            </w:r>
          </w:p>
        </w:tc>
        <w:tc>
          <w:tcPr>
            <w:tcW w:w="7744" w:type="dxa"/>
            <w:gridSpan w:val="4"/>
            <w:tcBorders/>
          </w:tcPr>
          <w:p>
            <w:pPr>
              <w:pStyle w:val="Normal"/>
              <w:widowControl/>
              <w:tabs>
                <w:tab w:val="clear" w:pos="708"/>
                <w:tab w:val="left" w:pos="3600" w:leader="none"/>
              </w:tabs>
              <w:suppressAutoHyphens w:val="true"/>
              <w:spacing w:before="0" w:after="0"/>
              <w:jc w:val="both"/>
              <w:rPr>
                <w:rFonts w:ascii="Roboto" w:hAnsi="Roboto"/>
                <w:sz w:val="18"/>
                <w:szCs w:val="18"/>
              </w:rPr>
            </w:pPr>
            <w:r>
              <w:rPr>
                <w:rFonts w:ascii="Roboto" w:hAnsi="Roboto"/>
                <w:b/>
                <w:bCs/>
                <w:kern w:val="0"/>
                <w:sz w:val="20"/>
                <w:szCs w:val="20"/>
                <w:lang w:val="de-DE" w:bidi="ar-SA"/>
              </w:rPr>
              <w:t>Hinweis zu Kriterium 18:</w:t>
            </w:r>
            <w:r>
              <w:rPr>
                <w:rFonts w:ascii="Roboto" w:hAnsi="Roboto"/>
                <w:kern w:val="0"/>
                <w:sz w:val="20"/>
                <w:szCs w:val="20"/>
                <w:lang w:val="de-DE" w:bidi="ar-SA"/>
              </w:rPr>
              <w:t xml:space="preserve"> </w:t>
            </w:r>
            <w:bookmarkStart w:id="0" w:name="__DdeLink__122_1173920552"/>
            <w:bookmarkEnd w:id="0"/>
            <w:r>
              <w:rPr>
                <w:rFonts w:ascii="Roboto" w:hAnsi="Roboto"/>
                <w:kern w:val="0"/>
                <w:sz w:val="20"/>
                <w:szCs w:val="20"/>
                <w:lang w:val="de-DE" w:bidi="ar-SA"/>
              </w:rPr>
              <w:t>Studiengänge, die mehr als eine Prüfungsleistung pro Modul (inklusive Prüfungsvorleistungen) vorsehen, müssen als Anlage des Kriterienrasters ein Prüfungskonzept erstellen. Abweichungen sind in Modulen für Abschlussarbeiten möglich, um z. B. begleitende mündliche Prüfungsformate zu ermöglichen. Für Studiengänge, die nur eine Prüfung pro Modul vorsehen, ist ein Verweis auf die Studien- und die Prüfungsordnung sowie die Modulbeschreibungen des jeweiligen Studiengangs im Kriterienraster als Prüfungskonzept ausreichend.</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sz w:val="18"/>
                <w:szCs w:val="18"/>
              </w:rPr>
            </w:pPr>
            <w:r>
              <w:rPr>
                <w:rFonts w:ascii="Roboto" w:hAnsi="Roboto"/>
                <w:kern w:val="0"/>
                <w:sz w:val="18"/>
                <w:szCs w:val="18"/>
                <w:lang w:val="de-DE" w:bidi="ar-SA"/>
              </w:rPr>
            </w:r>
          </w:p>
        </w:tc>
      </w:tr>
      <w:tr>
        <w:trPr/>
        <w:tc>
          <w:tcPr>
            <w:tcW w:w="8364" w:type="dxa"/>
            <w:gridSpan w:val="5"/>
            <w:tcBorders/>
            <w:shd w:color="auto" w:fill="D9D9D9" w:themeFill="background1" w:themeFillShade="d9" w:val="clear"/>
          </w:tcPr>
          <w:p>
            <w:pPr>
              <w:pStyle w:val="Normal"/>
              <w:widowControl/>
              <w:suppressAutoHyphens w:val="true"/>
              <w:spacing w:before="0" w:after="0"/>
              <w:jc w:val="start"/>
              <w:rPr>
                <w:rFonts w:ascii="Roboto" w:hAnsi="Roboto" w:cs="Calibri" w:cstheme="minorHAnsi"/>
                <w:b/>
              </w:rPr>
            </w:pPr>
            <w:r>
              <w:rPr>
                <w:rFonts w:cs="Calibri" w:ascii="Roboto" w:hAnsi="Roboto" w:cstheme="minorHAnsi"/>
                <w:b/>
                <w:kern w:val="0"/>
                <w:sz w:val="20"/>
                <w:szCs w:val="20"/>
                <w:lang w:val="de-DE" w:bidi="ar-SA"/>
              </w:rPr>
              <w:t>Möglichkeiten für Studierende</w:t>
            </w:r>
          </w:p>
        </w:tc>
        <w:tc>
          <w:tcPr>
            <w:tcW w:w="1559" w:type="dxa"/>
            <w:tcBorders/>
            <w:shd w:color="auto" w:fill="D9D9D9" w:themeFill="background1" w:themeFillShade="d9" w:val="clear"/>
          </w:tcPr>
          <w:p>
            <w:pPr>
              <w:pStyle w:val="Normal"/>
              <w:widowControl/>
              <w:suppressAutoHyphens w:val="true"/>
              <w:spacing w:before="0" w:after="0"/>
              <w:jc w:val="start"/>
              <w:rPr>
                <w:rFonts w:ascii="Roboto" w:hAnsi="Roboto" w:cs="Calibri" w:cstheme="minorHAnsi"/>
                <w:b/>
              </w:rPr>
            </w:pPr>
            <w:r>
              <w:rPr>
                <w:rFonts w:cs="Calibri" w:cstheme="minorHAnsi" w:ascii="Roboto" w:hAnsi="Roboto"/>
                <w:b/>
                <w:kern w:val="0"/>
                <w:sz w:val="20"/>
                <w:szCs w:val="20"/>
                <w:lang w:val="de-DE" w:bidi="ar-SA"/>
              </w:rPr>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19</w:t>
            </w:r>
          </w:p>
        </w:tc>
        <w:tc>
          <w:tcPr>
            <w:tcW w:w="3208" w:type="dxa"/>
            <w:tcBorders/>
          </w:tcPr>
          <w:p>
            <w:pPr>
              <w:pStyle w:val="Normal"/>
              <w:widowControl/>
              <w:suppressAutoHyphens w:val="true"/>
              <w:spacing w:before="0" w:after="0"/>
              <w:jc w:val="start"/>
              <w:rPr>
                <w:rFonts w:ascii="Roboto" w:hAnsi="Roboto" w:cs="Calibri" w:cstheme="minorHAnsi"/>
                <w:color w:val="000000"/>
              </w:rPr>
            </w:pPr>
            <w:r>
              <w:rPr>
                <w:rFonts w:cs="Arial"/>
                <w:kern w:val="0"/>
                <w:sz w:val="20"/>
                <w:szCs w:val="20"/>
                <w:lang w:val="de-DE" w:bidi="ar-SA"/>
              </w:rPr>
              <w:t xml:space="preserve">Das Studiengangkonzept </w:t>
            </w:r>
            <w:r>
              <w:rPr>
                <w:rStyle w:val="highlight"/>
                <w:rFonts w:cs="Arial"/>
                <w:kern w:val="0"/>
                <w:sz w:val="20"/>
                <w:szCs w:val="20"/>
                <w:lang w:val="de-DE" w:bidi="ar-SA"/>
              </w:rPr>
              <w:t>weiterbild</w:t>
            </w:r>
            <w:r>
              <w:rPr>
                <w:rFonts w:cs="Arial"/>
                <w:kern w:val="0"/>
                <w:sz w:val="20"/>
                <w:szCs w:val="20"/>
                <w:lang w:val="de-DE" w:bidi="ar-SA"/>
              </w:rPr>
              <w:t>ender Masterstudiengänge hat die beruflichen Erfahrungen zu berücksichtigen und zur Erreichung der Qualifikationsziele an diese anzuknüpfen.</w:t>
            </w:r>
          </w:p>
        </w:tc>
        <w:tc>
          <w:tcPr>
            <w:tcW w:w="1842"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11 Abs. 3 Satz 3 SächsStudAkkVO</w:t>
            </w:r>
          </w:p>
          <w:p>
            <w:pPr>
              <w:pStyle w:val="Normal"/>
              <w:widowControl/>
              <w:suppressAutoHyphens w:val="true"/>
              <w:spacing w:before="0" w:after="0"/>
              <w:jc w:val="start"/>
              <w:rPr>
                <w:rFonts w:ascii="Roboto" w:hAnsi="Roboto" w:cs="Calibri" w:cstheme="minorHAnsi"/>
                <w:color w:val="000000"/>
                <w:sz w:val="16"/>
                <w:szCs w:val="16"/>
              </w:rPr>
            </w:pPr>
            <w:r>
              <w:rPr>
                <w:rFonts w:cs="Calibri" w:cstheme="minorHAnsi" w:ascii="Roboto" w:hAnsi="Roboto"/>
                <w:color w:val="000000"/>
                <w:kern w:val="0"/>
                <w:sz w:val="16"/>
                <w:szCs w:val="16"/>
                <w:lang w:val="de-DE" w:bidi="ar-SA"/>
              </w:rPr>
            </w:r>
          </w:p>
        </w:tc>
        <w:tc>
          <w:tcPr>
            <w:tcW w:w="1134"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2.5 SGK </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523677507"/>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299662339"/>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1772048469"/>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553980279"/>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erfüllt</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20</w:t>
            </w:r>
          </w:p>
        </w:tc>
        <w:tc>
          <w:tcPr>
            <w:tcW w:w="3208" w:type="dxa"/>
            <w:tcBorders/>
          </w:tcPr>
          <w:p>
            <w:pPr>
              <w:pStyle w:val="Normal"/>
              <w:widowControl/>
              <w:suppressAutoHyphens w:val="true"/>
              <w:spacing w:before="0" w:after="0"/>
              <w:jc w:val="start"/>
              <w:rPr>
                <w:rFonts w:ascii="Roboto" w:hAnsi="Roboto" w:cs="Calibri" w:cstheme="minorHAnsi"/>
                <w:color w:val="000000"/>
              </w:rPr>
            </w:pPr>
            <w:r>
              <w:rPr>
                <w:rFonts w:cs="Calibri" w:ascii="Roboto" w:hAnsi="Roboto" w:cstheme="minorHAnsi"/>
                <w:color w:val="000000"/>
                <w:kern w:val="0"/>
                <w:sz w:val="20"/>
                <w:szCs w:val="20"/>
                <w:lang w:val="de-DE" w:bidi="ar-SA"/>
              </w:rPr>
              <w:t>Das Studiengangkonzept umfasst vielfältige, an die jeweilige Fachkultur und das Studienformat angepasste Lehr-, Lern- und Prüfungsformen sowie ggf. Praxisanteile.</w:t>
            </w:r>
          </w:p>
        </w:tc>
        <w:tc>
          <w:tcPr>
            <w:tcW w:w="1842"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12 Abs. 1 Satz 3 SächsStudAkkVO</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37 Abs. 2 Satz 1 und Abs. 3 Satz 2 SächsHSG</w:t>
            </w:r>
          </w:p>
        </w:tc>
        <w:tc>
          <w:tcPr>
            <w:tcW w:w="1134"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2.5 SGK</w:t>
            </w:r>
          </w:p>
          <w:p>
            <w:pPr>
              <w:pStyle w:val="Normal"/>
              <w:widowControl/>
              <w:suppressAutoHyphens w:val="true"/>
              <w:spacing w:before="0" w:after="0"/>
              <w:jc w:val="start"/>
              <w:rPr>
                <w:rFonts w:ascii="Roboto" w:hAnsi="Roboto" w:cs="Calibri" w:cstheme="minorHAnsi"/>
                <w:sz w:val="16"/>
                <w:szCs w:val="16"/>
              </w:rPr>
            </w:pPr>
            <w:r>
              <w:rPr>
                <w:rFonts w:cs="Calibri" w:cstheme="minorHAnsi" w:ascii="Roboto" w:hAnsi="Roboto"/>
                <w:kern w:val="0"/>
                <w:sz w:val="16"/>
                <w:szCs w:val="16"/>
                <w:lang w:val="de-DE" w:bidi="ar-SA"/>
              </w:rPr>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SO § 6 SO</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SAP und </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MB</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1592047204"/>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852145679"/>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118414427"/>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81563586"/>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erfüllt</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21</w:t>
            </w:r>
          </w:p>
        </w:tc>
        <w:tc>
          <w:tcPr>
            <w:tcW w:w="3208" w:type="dxa"/>
            <w:tcBorders/>
          </w:tcPr>
          <w:p>
            <w:pPr>
              <w:pStyle w:val="Normal"/>
              <w:widowControl/>
              <w:suppressAutoHyphens w:val="true"/>
              <w:spacing w:before="0" w:after="0"/>
              <w:jc w:val="start"/>
              <w:rPr>
                <w:rFonts w:ascii="Roboto" w:hAnsi="Roboto"/>
              </w:rPr>
            </w:pPr>
            <w:r>
              <w:rPr>
                <w:rFonts w:ascii="Roboto" w:hAnsi="Roboto"/>
                <w:kern w:val="0"/>
                <w:sz w:val="20"/>
                <w:szCs w:val="20"/>
                <w:lang w:val="de-DE" w:bidi="ar-SA"/>
              </w:rPr>
              <w:t xml:space="preserve">In den Studiendokumenten ist die Dauer einer dem Studium dienenden berufspraktischen Tätigkeit geregelt. </w:t>
            </w:r>
          </w:p>
        </w:tc>
        <w:tc>
          <w:tcPr>
            <w:tcW w:w="1842"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35 Abs. 1 Satz 2 Nr. 4 und § 37 Abs. 2 Satz 1</w:t>
            </w:r>
            <w:r>
              <w:rPr>
                <w:rFonts w:cs="Calibri" w:ascii="Roboto" w:hAnsi="Roboto" w:cstheme="minorHAnsi"/>
                <w:kern w:val="0"/>
                <w:sz w:val="16"/>
                <w:szCs w:val="16"/>
                <w:vertAlign w:val="superscript"/>
                <w:lang w:val="de-DE" w:bidi="ar-SA"/>
              </w:rPr>
              <w:t xml:space="preserve"> </w:t>
            </w:r>
            <w:r>
              <w:rPr>
                <w:rFonts w:cs="Calibri" w:ascii="Roboto" w:hAnsi="Roboto" w:cstheme="minorHAnsi"/>
                <w:kern w:val="0"/>
                <w:sz w:val="16"/>
                <w:szCs w:val="16"/>
                <w:lang w:val="de-DE" w:bidi="ar-SA"/>
              </w:rPr>
              <w:t>SächsHSG</w:t>
            </w:r>
          </w:p>
        </w:tc>
        <w:tc>
          <w:tcPr>
            <w:tcW w:w="1134"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2.5 SGK</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SAP und MB</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(sofern vorgesehen) </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2121445729"/>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919627899"/>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p>
            <w:pPr>
              <w:pStyle w:val="Normal"/>
              <w:widowControl/>
              <w:tabs>
                <w:tab w:val="clear" w:pos="708"/>
                <w:tab w:val="left" w:pos="3600" w:leader="none"/>
              </w:tabs>
              <w:suppressAutoHyphens w:val="true"/>
              <w:spacing w:before="0" w:after="0"/>
              <w:jc w:val="start"/>
              <w:rPr>
                <w:rFonts w:ascii="Roboto" w:hAnsi="Roboto"/>
              </w:rPr>
            </w:pPr>
            <w:sdt>
              <w:sdtPr>
                <w:id w:val="-712108678"/>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relevant</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824592374"/>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030337165"/>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erfüllt</w:t>
            </w:r>
          </w:p>
          <w:p>
            <w:pPr>
              <w:pStyle w:val="Normal"/>
              <w:widowControl/>
              <w:tabs>
                <w:tab w:val="clear" w:pos="708"/>
                <w:tab w:val="left" w:pos="3600" w:leader="none"/>
              </w:tabs>
              <w:suppressAutoHyphens w:val="true"/>
              <w:spacing w:before="0" w:after="0"/>
              <w:jc w:val="start"/>
              <w:rPr>
                <w:rFonts w:ascii="Roboto" w:hAnsi="Roboto"/>
              </w:rPr>
            </w:pPr>
            <w:sdt>
              <w:sdtPr>
                <w:id w:val="-102654945"/>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relevant</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22</w:t>
            </w:r>
          </w:p>
        </w:tc>
        <w:tc>
          <w:tcPr>
            <w:tcW w:w="3208" w:type="dxa"/>
            <w:tcBorders/>
          </w:tcPr>
          <w:p>
            <w:pPr>
              <w:pStyle w:val="Normal"/>
              <w:widowControl/>
              <w:suppressAutoHyphens w:val="true"/>
              <w:spacing w:before="0" w:after="0"/>
              <w:jc w:val="start"/>
              <w:rPr>
                <w:rFonts w:ascii="Roboto" w:hAnsi="Roboto" w:cs="Calibri" w:cstheme="minorHAnsi"/>
                <w:color w:val="000000"/>
              </w:rPr>
            </w:pPr>
            <w:r>
              <w:rPr>
                <w:rFonts w:ascii="Roboto" w:hAnsi="Roboto"/>
                <w:kern w:val="0"/>
                <w:sz w:val="20"/>
                <w:szCs w:val="20"/>
                <w:lang w:val="de-DE" w:bidi="ar-SA"/>
              </w:rPr>
              <w:t>Die Studienordnung sieht Schwerpunkte vor, die der Student nach eigener Wahl bestimmen kann. **</w:t>
            </w:r>
          </w:p>
        </w:tc>
        <w:tc>
          <w:tcPr>
            <w:tcW w:w="1842" w:type="dxa"/>
            <w:tcBorders/>
          </w:tcPr>
          <w:p>
            <w:pPr>
              <w:pStyle w:val="Normal"/>
              <w:widowControl/>
              <w:suppressAutoHyphens w:val="true"/>
              <w:spacing w:before="0" w:after="0"/>
              <w:jc w:val="start"/>
              <w:rPr>
                <w:rFonts w:ascii="Roboto" w:hAnsi="Roboto"/>
                <w:sz w:val="16"/>
                <w:szCs w:val="16"/>
              </w:rPr>
            </w:pPr>
            <w:r>
              <w:rPr>
                <w:rFonts w:cs="Calibri" w:ascii="Roboto" w:hAnsi="Roboto" w:cstheme="minorHAnsi"/>
                <w:kern w:val="0"/>
                <w:sz w:val="16"/>
                <w:szCs w:val="16"/>
                <w:lang w:val="de-DE" w:bidi="ar-SA"/>
              </w:rPr>
              <w:t>§ 37 Abs. 2 Satz 2 SächsHSG</w:t>
            </w:r>
          </w:p>
        </w:tc>
        <w:tc>
          <w:tcPr>
            <w:tcW w:w="1134" w:type="dxa"/>
            <w:tcBorders/>
          </w:tcPr>
          <w:p>
            <w:pPr>
              <w:pStyle w:val="Normal"/>
              <w:widowControl/>
              <w:suppressAutoHyphens w:val="true"/>
              <w:spacing w:before="0" w:after="0"/>
              <w:jc w:val="start"/>
              <w:rPr>
                <w:rFonts w:ascii="Roboto" w:hAnsi="Roboto" w:cs="Calibri" w:cstheme="minorHAnsi"/>
                <w:sz w:val="16"/>
                <w:szCs w:val="16"/>
                <w:lang w:val="it-IT"/>
              </w:rPr>
            </w:pPr>
            <w:r>
              <w:rPr>
                <w:rFonts w:cs="Calibri" w:ascii="Roboto" w:hAnsi="Roboto" w:cstheme="minorHAnsi"/>
                <w:kern w:val="0"/>
                <w:sz w:val="16"/>
                <w:szCs w:val="16"/>
                <w:lang w:val="it-IT" w:bidi="ar-SA"/>
              </w:rPr>
              <w:t>2.5 SGK</w:t>
            </w:r>
          </w:p>
          <w:p>
            <w:pPr>
              <w:pStyle w:val="Normal"/>
              <w:widowControl/>
              <w:suppressAutoHyphens w:val="true"/>
              <w:spacing w:before="0" w:after="0"/>
              <w:jc w:val="start"/>
              <w:rPr>
                <w:rFonts w:ascii="Roboto" w:hAnsi="Roboto" w:cs="Calibri" w:cstheme="minorHAnsi"/>
                <w:sz w:val="16"/>
                <w:szCs w:val="16"/>
                <w:lang w:val="it-IT"/>
              </w:rPr>
            </w:pPr>
            <w:r>
              <w:rPr>
                <w:rFonts w:cs="Calibri" w:ascii="Roboto" w:hAnsi="Roboto" w:cstheme="minorHAnsi"/>
                <w:kern w:val="0"/>
                <w:sz w:val="16"/>
                <w:szCs w:val="16"/>
                <w:lang w:val="it-IT" w:bidi="ar-SA"/>
              </w:rPr>
              <w:t>§ 6 Abs. 1 SO</w:t>
            </w:r>
          </w:p>
          <w:p>
            <w:pPr>
              <w:pStyle w:val="Normal"/>
              <w:widowControl/>
              <w:suppressAutoHyphens w:val="true"/>
              <w:spacing w:before="0" w:after="0"/>
              <w:jc w:val="start"/>
              <w:rPr>
                <w:rFonts w:ascii="Roboto" w:hAnsi="Roboto" w:cs="Calibri" w:cstheme="minorHAnsi"/>
                <w:sz w:val="16"/>
                <w:szCs w:val="16"/>
                <w:lang w:val="it-IT"/>
              </w:rPr>
            </w:pPr>
            <w:r>
              <w:rPr>
                <w:rFonts w:cs="Calibri" w:ascii="Roboto" w:hAnsi="Roboto" w:cstheme="minorHAnsi"/>
                <w:kern w:val="0"/>
                <w:sz w:val="16"/>
                <w:szCs w:val="16"/>
                <w:lang w:val="it-IT" w:bidi="ar-SA"/>
              </w:rPr>
              <w:t>§ 25 Abs. 1 PO</w:t>
            </w:r>
          </w:p>
          <w:p>
            <w:pPr>
              <w:pStyle w:val="Normal"/>
              <w:widowControl/>
              <w:suppressAutoHyphens w:val="true"/>
              <w:spacing w:before="0" w:after="0"/>
              <w:jc w:val="start"/>
              <w:rPr>
                <w:rFonts w:ascii="Roboto" w:hAnsi="Roboto" w:cs="Calibri" w:cstheme="minorHAnsi"/>
                <w:sz w:val="16"/>
                <w:szCs w:val="16"/>
                <w:lang w:val="it-IT"/>
              </w:rPr>
            </w:pPr>
            <w:r>
              <w:rPr>
                <w:rFonts w:cs="Calibri" w:ascii="Roboto" w:hAnsi="Roboto" w:cstheme="minorHAnsi"/>
                <w:kern w:val="0"/>
                <w:sz w:val="16"/>
                <w:szCs w:val="16"/>
                <w:lang w:val="it-IT" w:bidi="ar-SA"/>
              </w:rPr>
              <w:t>SAP</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1074351332"/>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756885489"/>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1441371211"/>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747845976"/>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cstheme="minorHAnsi" w:ascii="Roboto" w:hAnsi="Roboto"/>
                <w:kern w:val="0"/>
                <w:sz w:val="20"/>
                <w:szCs w:val="20"/>
                <w:lang w:val="de-DE" w:bidi="ar-SA"/>
              </w:rPr>
            </w:r>
          </w:p>
        </w:tc>
        <w:tc>
          <w:tcPr>
            <w:tcW w:w="9303" w:type="dxa"/>
            <w:gridSpan w:val="5"/>
            <w:tcBorders/>
          </w:tcPr>
          <w:p>
            <w:pPr>
              <w:pStyle w:val="Normal"/>
              <w:widowControl/>
              <w:tabs>
                <w:tab w:val="clear" w:pos="708"/>
                <w:tab w:val="left" w:pos="3600" w:leader="none"/>
              </w:tabs>
              <w:suppressAutoHyphens w:val="true"/>
              <w:spacing w:before="0" w:after="0"/>
              <w:jc w:val="start"/>
              <w:rPr>
                <w:rFonts w:ascii="Roboto" w:hAnsi="Roboto"/>
              </w:rPr>
            </w:pPr>
            <w:r>
              <w:rPr>
                <w:rFonts w:ascii="Roboto" w:hAnsi="Roboto"/>
                <w:kern w:val="0"/>
                <w:sz w:val="20"/>
                <w:szCs w:val="20"/>
                <w:lang w:val="de-DE" w:bidi="ar-SA"/>
              </w:rPr>
              <w:t xml:space="preserve">** </w:t>
            </w:r>
            <w:r>
              <w:rPr>
                <w:rFonts w:cs="Calibri" w:ascii="Roboto" w:hAnsi="Roboto" w:cstheme="minorHAnsi"/>
                <w:i/>
                <w:iCs/>
                <w:color w:val="000000"/>
                <w:kern w:val="0"/>
                <w:sz w:val="18"/>
                <w:szCs w:val="18"/>
                <w:lang w:val="de-DE" w:bidi="ar-SA"/>
              </w:rPr>
              <w:t>Wahlmöglichkeiten bestehen im Bereich ….</w:t>
            </w:r>
            <w:r>
              <w:rPr>
                <w:rFonts w:ascii="Roboto" w:hAnsi="Roboto"/>
                <w:kern w:val="0"/>
                <w:sz w:val="20"/>
                <w:szCs w:val="20"/>
                <w:lang w:val="de-DE" w:bidi="ar-SA"/>
              </w:rPr>
              <w:t xml:space="preserve"> </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23</w:t>
            </w:r>
          </w:p>
        </w:tc>
        <w:tc>
          <w:tcPr>
            <w:tcW w:w="3208" w:type="dxa"/>
            <w:tcBorders/>
          </w:tcPr>
          <w:p>
            <w:pPr>
              <w:pStyle w:val="Normal"/>
              <w:widowControl/>
              <w:suppressAutoHyphens w:val="true"/>
              <w:spacing w:before="0" w:after="0"/>
              <w:jc w:val="start"/>
              <w:rPr>
                <w:rFonts w:ascii="Roboto" w:hAnsi="Roboto" w:cs="Calibri" w:cstheme="minorHAnsi"/>
                <w:color w:val="000000"/>
              </w:rPr>
            </w:pPr>
            <w:r>
              <w:rPr>
                <w:rFonts w:cs="Calibri" w:ascii="Roboto" w:hAnsi="Roboto" w:cstheme="minorHAnsi"/>
                <w:color w:val="000000"/>
                <w:kern w:val="0"/>
                <w:sz w:val="20"/>
                <w:szCs w:val="20"/>
                <w:lang w:val="de-DE" w:bidi="ar-SA"/>
              </w:rPr>
              <w:t>Es werden Freiräume für ein selbstgestaltetes Studium eröffnet, d.h. Möglichkeiten des Selbststudiums bzw. selbständigen Vorbereitung und Vertiefung des Stoffes.</w:t>
            </w:r>
          </w:p>
        </w:tc>
        <w:tc>
          <w:tcPr>
            <w:tcW w:w="1842" w:type="dxa"/>
            <w:tcBorders/>
          </w:tcPr>
          <w:p>
            <w:pPr>
              <w:pStyle w:val="Normal"/>
              <w:widowControl/>
              <w:suppressAutoHyphens w:val="true"/>
              <w:spacing w:before="0" w:after="0"/>
              <w:jc w:val="start"/>
              <w:rPr>
                <w:rFonts w:ascii="Roboto" w:hAnsi="Roboto" w:cs="Calibri" w:cstheme="minorHAnsi"/>
                <w:color w:val="000000"/>
                <w:sz w:val="16"/>
                <w:szCs w:val="16"/>
              </w:rPr>
            </w:pPr>
            <w:r>
              <w:rPr>
                <w:rFonts w:cs="Calibri" w:ascii="Roboto" w:hAnsi="Roboto" w:cstheme="minorHAnsi"/>
                <w:kern w:val="0"/>
                <w:sz w:val="16"/>
                <w:szCs w:val="16"/>
                <w:lang w:val="de-DE" w:bidi="ar-SA"/>
              </w:rPr>
              <w:t>§ 17 Abs. 1 Satz 2 und § 37 Abs. 4 Satz 3 SächsHSG</w:t>
            </w:r>
          </w:p>
        </w:tc>
        <w:tc>
          <w:tcPr>
            <w:tcW w:w="1134" w:type="dxa"/>
            <w:tcBorders/>
          </w:tcPr>
          <w:p>
            <w:pPr>
              <w:pStyle w:val="FootnoteText"/>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2.5 SGK</w:t>
            </w:r>
          </w:p>
          <w:p>
            <w:pPr>
              <w:pStyle w:val="Normal"/>
              <w:widowControl/>
              <w:suppressAutoHyphens w:val="true"/>
              <w:spacing w:before="0" w:after="0"/>
              <w:jc w:val="start"/>
              <w:rPr>
                <w:kern w:val="0"/>
                <w:sz w:val="20"/>
                <w:szCs w:val="20"/>
                <w:lang w:val="de-DE" w:bidi="ar-SA"/>
              </w:rPr>
            </w:pPr>
            <w:r>
              <w:rPr>
                <w:rFonts w:cs="Calibri" w:ascii="Roboto" w:hAnsi="Roboto" w:cstheme="minorHAnsi"/>
                <w:kern w:val="0"/>
                <w:sz w:val="16"/>
                <w:szCs w:val="16"/>
                <w:lang w:val="de-DE" w:bidi="ar-SA"/>
              </w:rPr>
              <w:t>MB (Bemerkung 8)</w:t>
            </w:r>
            <w:r>
              <w:rPr>
                <w:rStyle w:val="Funotenzeichen"/>
                <w:rFonts w:ascii="Roboto" w:hAnsi="Roboto"/>
                <w:kern w:val="0"/>
                <w:sz w:val="20"/>
                <w:szCs w:val="20"/>
                <w:lang w:val="de-DE" w:bidi="ar-SA"/>
              </w:rPr>
              <w:t xml:space="preserve"> </w:t>
            </w:r>
          </w:p>
          <w:p>
            <w:pPr>
              <w:pStyle w:val="Normal"/>
              <w:widowControl/>
              <w:suppressAutoHyphens w:val="true"/>
              <w:spacing w:before="0" w:after="0"/>
              <w:jc w:val="start"/>
              <w:rPr>
                <w:rFonts w:ascii="Roboto" w:hAnsi="Roboto"/>
                <w:sz w:val="16"/>
                <w:szCs w:val="16"/>
              </w:rPr>
            </w:pPr>
            <w:r>
              <w:rPr>
                <w:rFonts w:cs="Calibri" w:ascii="Roboto" w:hAnsi="Roboto" w:cstheme="minorHAnsi"/>
                <w:kern w:val="0"/>
                <w:sz w:val="16"/>
                <w:szCs w:val="16"/>
                <w:lang w:val="de-DE" w:bidi="ar-SA"/>
              </w:rPr>
              <w:t>§ 10 Abs. 1 SO</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1669013730"/>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535047708"/>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794262544"/>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764768081"/>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erfüllt</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24</w:t>
            </w:r>
          </w:p>
        </w:tc>
        <w:tc>
          <w:tcPr>
            <w:tcW w:w="3208" w:type="dxa"/>
            <w:tcBorders/>
          </w:tcPr>
          <w:p>
            <w:pPr>
              <w:pStyle w:val="Normal"/>
              <w:widowControl/>
              <w:suppressAutoHyphens w:val="true"/>
              <w:spacing w:before="0" w:after="0"/>
              <w:jc w:val="start"/>
              <w:rPr>
                <w:rFonts w:ascii="Roboto" w:hAnsi="Roboto" w:cs="Calibri" w:cstheme="minorHAnsi"/>
                <w:color w:val="000000"/>
                <w:vertAlign w:val="superscript"/>
              </w:rPr>
            </w:pPr>
            <w:r>
              <w:rPr>
                <w:rFonts w:cs="Calibri" w:ascii="Roboto" w:hAnsi="Roboto" w:cstheme="minorHAnsi"/>
                <w:color w:val="000000"/>
                <w:kern w:val="0"/>
                <w:sz w:val="20"/>
                <w:szCs w:val="20"/>
                <w:lang w:val="de-DE" w:bidi="ar-SA"/>
              </w:rPr>
              <w:t xml:space="preserve">Es existieren geeignete Rahmenbedingungen zur Förderung der studentischen Mobilität. Sie ermöglichen den Aufenthalt an anderen Hochschulen ohne Zeitverlust. </w:t>
            </w:r>
            <w:r>
              <w:rPr>
                <w:rFonts w:cs="Calibri" w:ascii="Roboto" w:hAnsi="Roboto" w:cstheme="minorHAnsi"/>
                <w:color w:val="000000"/>
                <w:kern w:val="0"/>
                <w:sz w:val="20"/>
                <w:szCs w:val="20"/>
                <w:vertAlign w:val="superscript"/>
                <w:lang w:val="de-DE" w:bidi="ar-SA"/>
              </w:rPr>
              <w:t>*</w:t>
            </w:r>
          </w:p>
        </w:tc>
        <w:tc>
          <w:tcPr>
            <w:tcW w:w="1842" w:type="dxa"/>
            <w:tcBorders/>
          </w:tcPr>
          <w:p>
            <w:pPr>
              <w:pStyle w:val="Normal"/>
              <w:widowControl/>
              <w:suppressAutoHyphens w:val="true"/>
              <w:spacing w:before="0" w:after="0"/>
              <w:jc w:val="start"/>
              <w:rPr>
                <w:rFonts w:ascii="Roboto" w:hAnsi="Roboto" w:cs="Calibri" w:cstheme="minorHAnsi"/>
                <w:bCs/>
                <w:sz w:val="16"/>
                <w:szCs w:val="16"/>
              </w:rPr>
            </w:pPr>
            <w:r>
              <w:rPr>
                <w:rFonts w:ascii="Roboto" w:hAnsi="Roboto"/>
                <w:kern w:val="0"/>
                <w:sz w:val="16"/>
                <w:szCs w:val="16"/>
                <w:lang w:val="de-DE" w:bidi="ar-SA"/>
              </w:rPr>
              <w:t xml:space="preserve">§ 12 Abs. 1 Satz 4 </w:t>
            </w:r>
            <w:r>
              <w:rPr>
                <w:rFonts w:cs="Calibri" w:ascii="Roboto" w:hAnsi="Roboto" w:cstheme="minorHAnsi"/>
                <w:bCs/>
                <w:kern w:val="0"/>
                <w:sz w:val="16"/>
                <w:szCs w:val="16"/>
                <w:lang w:val="de-DE" w:bidi="ar-SA"/>
              </w:rPr>
              <w:t>SächsStudAkkVO</w:t>
            </w:r>
          </w:p>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Begründung zu § 12 Abs. 1 Satz 4 MRVO</w:t>
            </w:r>
          </w:p>
          <w:p>
            <w:pPr>
              <w:pStyle w:val="Normal"/>
              <w:widowControl/>
              <w:suppressAutoHyphens w:val="true"/>
              <w:spacing w:before="0" w:after="0"/>
              <w:jc w:val="start"/>
              <w:rPr>
                <w:rFonts w:ascii="Roboto" w:hAnsi="Roboto" w:cs="Calibri" w:cstheme="minorHAnsi"/>
                <w:sz w:val="16"/>
                <w:szCs w:val="16"/>
              </w:rPr>
            </w:pPr>
            <w:r>
              <w:rPr>
                <w:rFonts w:ascii="Roboto" w:hAnsi="Roboto"/>
                <w:kern w:val="0"/>
                <w:sz w:val="16"/>
                <w:szCs w:val="16"/>
                <w:lang w:val="de-DE" w:bidi="ar-SA"/>
              </w:rPr>
              <w:t>§ 36 Abs. 9 SächsHSG</w:t>
            </w:r>
          </w:p>
        </w:tc>
        <w:tc>
          <w:tcPr>
            <w:tcW w:w="1134" w:type="dxa"/>
            <w:tcBorders/>
          </w:tcPr>
          <w:p>
            <w:pPr>
              <w:pStyle w:val="FootnoteText"/>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15 PO</w:t>
            </w:r>
          </w:p>
          <w:p>
            <w:pPr>
              <w:pStyle w:val="FootnoteText"/>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SAP </w:t>
            </w:r>
          </w:p>
          <w:p>
            <w:pPr>
              <w:pStyle w:val="FootnoteText"/>
              <w:widowControl/>
              <w:suppressAutoHyphens w:val="true"/>
              <w:spacing w:before="0" w:after="0"/>
              <w:jc w:val="start"/>
              <w:rPr>
                <w:rFonts w:ascii="Roboto" w:hAnsi="Roboto" w:cs="Calibri" w:cstheme="minorHAnsi"/>
                <w:sz w:val="16"/>
                <w:szCs w:val="16"/>
              </w:rPr>
            </w:pPr>
            <w:r>
              <w:rPr>
                <w:rFonts w:cs="Calibri" w:cstheme="minorHAnsi" w:ascii="Roboto" w:hAnsi="Roboto"/>
                <w:kern w:val="0"/>
                <w:sz w:val="16"/>
                <w:szCs w:val="16"/>
                <w:lang w:val="de-DE" w:bidi="ar-SA"/>
              </w:rPr>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97765362"/>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368999954"/>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erfüllt</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721978461"/>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2029140455"/>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erfüllt</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cstheme="minorHAnsi" w:ascii="Roboto" w:hAnsi="Roboto"/>
                <w:kern w:val="0"/>
                <w:sz w:val="20"/>
                <w:szCs w:val="20"/>
                <w:lang w:val="de-DE" w:bidi="ar-SA"/>
              </w:rPr>
            </w:r>
          </w:p>
        </w:tc>
        <w:tc>
          <w:tcPr>
            <w:tcW w:w="7744" w:type="dxa"/>
            <w:gridSpan w:val="4"/>
            <w:tcBorders/>
          </w:tcPr>
          <w:p>
            <w:pPr>
              <w:pStyle w:val="PlainText"/>
              <w:widowControl/>
              <w:suppressAutoHyphens w:val="true"/>
              <w:spacing w:before="0" w:after="0"/>
              <w:jc w:val="start"/>
              <w:rPr>
                <w:rFonts w:ascii="Roboto" w:hAnsi="Roboto"/>
                <w:sz w:val="18"/>
                <w:szCs w:val="18"/>
              </w:rPr>
            </w:pPr>
            <w:r>
              <w:rPr>
                <w:rFonts w:ascii="Roboto" w:hAnsi="Roboto"/>
                <w:kern w:val="0"/>
                <w:sz w:val="18"/>
                <w:szCs w:val="18"/>
                <w:lang w:val="de-DE" w:bidi="ar-SA"/>
              </w:rPr>
              <w:t>* Dieses Kriterium gilt auf Dokumentenebene als erfüllt, wenn Mobilitätsfenster vorgesehen sind. Ein Mobilitätsfenster ist vorhanden, wenn der Studienablaufplan mindestens ein Semester enthält, in dem alle Module innerhalb desselben begonnen und absolviert werden können.</w:t>
            </w:r>
          </w:p>
          <w:p>
            <w:pPr>
              <w:pStyle w:val="Normal"/>
              <w:widowControl/>
              <w:tabs>
                <w:tab w:val="clear" w:pos="708"/>
                <w:tab w:val="left" w:pos="3600" w:leader="none"/>
              </w:tabs>
              <w:suppressAutoHyphens w:val="true"/>
              <w:spacing w:before="0" w:after="0"/>
              <w:jc w:val="both"/>
              <w:rPr>
                <w:rFonts w:ascii="Roboto" w:hAnsi="Roboto"/>
                <w:sz w:val="18"/>
                <w:szCs w:val="18"/>
              </w:rPr>
            </w:pPr>
            <w:r>
              <w:rPr>
                <w:rFonts w:ascii="Roboto" w:hAnsi="Roboto"/>
                <w:kern w:val="0"/>
                <w:sz w:val="18"/>
                <w:szCs w:val="18"/>
                <w:lang w:val="de-DE" w:bidi="ar-SA"/>
              </w:rPr>
              <w:t>Entspricht der Studienablaufplan dieser Anforderung nicht, ist in Abhängigkeit von der Begründung über den Erfüllungsgrad des Kriteriums zu entscheiden. Die Begründung muss insbesondere aufzeigen, wie die Mobilität von Studierenden anderweitig unterstützt wird.</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r>
              <w:rPr>
                <w:rFonts w:ascii="Roboto" w:hAnsi="Roboto"/>
                <w:kern w:val="0"/>
                <w:sz w:val="20"/>
                <w:szCs w:val="20"/>
                <w:lang w:val="de-DE" w:bidi="ar-SA"/>
              </w:rPr>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cstheme="minorHAnsi" w:ascii="Roboto" w:hAnsi="Roboto"/>
                <w:kern w:val="0"/>
                <w:sz w:val="20"/>
                <w:szCs w:val="20"/>
                <w:lang w:val="de-DE" w:bidi="ar-SA"/>
              </w:rPr>
            </w:r>
          </w:p>
        </w:tc>
        <w:tc>
          <w:tcPr>
            <w:tcW w:w="7744" w:type="dxa"/>
            <w:gridSpan w:val="4"/>
            <w:tcBorders/>
          </w:tcPr>
          <w:p>
            <w:pPr>
              <w:pStyle w:val="Normal"/>
              <w:widowControl/>
              <w:tabs>
                <w:tab w:val="clear" w:pos="708"/>
                <w:tab w:val="left" w:pos="3600" w:leader="none"/>
              </w:tabs>
              <w:suppressAutoHyphens w:val="true"/>
              <w:spacing w:before="0" w:after="0"/>
              <w:jc w:val="start"/>
              <w:rPr>
                <w:rFonts w:ascii="Roboto" w:hAnsi="Roboto"/>
              </w:rPr>
            </w:pPr>
            <w:r>
              <w:rPr>
                <w:rFonts w:cs="Calibri" w:ascii="Roboto" w:hAnsi="Roboto" w:cstheme="minorHAnsi"/>
                <w:i/>
                <w:iCs/>
                <w:color w:val="000000"/>
                <w:kern w:val="0"/>
                <w:sz w:val="18"/>
                <w:szCs w:val="18"/>
                <w:lang w:val="de-DE" w:bidi="ar-SA"/>
              </w:rPr>
              <w:t xml:space="preserve">Hinweise / Begründung bei Abweichungen: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r>
              <w:rPr>
                <w:rFonts w:ascii="Roboto" w:hAnsi="Roboto"/>
                <w:kern w:val="0"/>
                <w:sz w:val="20"/>
                <w:szCs w:val="20"/>
                <w:lang w:val="de-DE" w:bidi="ar-SA"/>
              </w:rPr>
            </w:r>
          </w:p>
        </w:tc>
      </w:tr>
    </w:tbl>
    <w:p>
      <w:pPr>
        <w:pStyle w:val="Normal"/>
        <w:rPr>
          <w:rFonts w:ascii="Roboto" w:hAnsi="Roboto" w:cs="Calibri" w:cstheme="minorHAnsi"/>
        </w:rPr>
      </w:pPr>
      <w:r>
        <w:rPr>
          <w:rFonts w:cs="Calibri" w:cstheme="minorHAnsi" w:ascii="Roboto" w:hAnsi="Roboto"/>
        </w:rPr>
      </w:r>
    </w:p>
    <w:p>
      <w:pPr>
        <w:pStyle w:val="Normal"/>
        <w:rPr>
          <w:rFonts w:ascii="Roboto" w:hAnsi="Roboto"/>
        </w:rPr>
      </w:pPr>
      <w:r>
        <w:rPr>
          <w:rFonts w:ascii="Roboto" w:hAnsi="Roboto"/>
        </w:rPr>
        <w:t>Bestätigung erweiterter Vorstand des ZWT: [Datum und ggf. Auszug aus dem Protokoll]</w:t>
      </w:r>
    </w:p>
    <w:p>
      <w:pPr>
        <w:pStyle w:val="Normal"/>
        <w:rPr>
          <w:rFonts w:ascii="Roboto" w:hAnsi="Roboto"/>
        </w:rPr>
      </w:pPr>
      <w:r>
        <w:rPr>
          <w:rFonts w:ascii="Roboto" w:hAnsi="Roboto"/>
        </w:rPr>
        <w:t>Bestätigung Rektorat: [Datum und ggf. Auszug aus dem Rektoratsprotokoll]</w:t>
      </w:r>
    </w:p>
    <w:p>
      <w:pPr>
        <w:pStyle w:val="Normal"/>
        <w:rPr>
          <w:rFonts w:ascii="Roboto" w:hAnsi="Roboto"/>
        </w:rPr>
      </w:pPr>
      <w:r>
        <w:rPr>
          <w:rFonts w:ascii="Roboto" w:hAnsi="Roboto"/>
        </w:rPr>
      </w:r>
      <w:r>
        <w:br w:type="page"/>
      </w:r>
    </w:p>
    <w:p>
      <w:pPr>
        <w:pStyle w:val="Normal"/>
        <w:tabs>
          <w:tab w:val="clear" w:pos="708"/>
          <w:tab w:val="left" w:pos="3119" w:leader="none"/>
        </w:tabs>
        <w:spacing w:before="0" w:after="240"/>
        <w:jc w:val="center"/>
        <w:rPr>
          <w:rFonts w:ascii="Roboto" w:hAnsi="Roboto"/>
        </w:rPr>
      </w:pPr>
      <w:r>
        <w:rPr>
          <w:rFonts w:ascii="Roboto" w:hAnsi="Roboto"/>
          <w:b/>
          <w:sz w:val="36"/>
          <w:szCs w:val="36"/>
        </w:rPr>
        <w:t xml:space="preserve">Anlage Prüfungskonzept </w:t>
      </w:r>
    </w:p>
    <w:p>
      <w:pPr>
        <w:pStyle w:val="Normal"/>
        <w:spacing w:before="0" w:after="240"/>
        <w:jc w:val="center"/>
        <w:rPr>
          <w:rFonts w:ascii="Roboto" w:hAnsi="Roboto"/>
        </w:rPr>
      </w:pPr>
      <w:r>
        <w:rPr>
          <w:rFonts w:ascii="Roboto" w:hAnsi="Roboto"/>
          <w:sz w:val="24"/>
          <w:szCs w:val="24"/>
        </w:rPr>
        <w:t>für den Masterstudiengang</w:t>
      </w:r>
    </w:p>
    <w:p>
      <w:pPr>
        <w:pStyle w:val="Normal"/>
        <w:spacing w:before="0" w:after="240"/>
        <w:jc w:val="center"/>
        <w:rPr>
          <w:rFonts w:ascii="Roboto" w:hAnsi="Roboto"/>
        </w:rPr>
      </w:pPr>
      <w:r>
        <w:rPr>
          <w:rFonts w:ascii="Roboto" w:hAnsi="Roboto"/>
          <w:b/>
          <w:sz w:val="28"/>
          <w:szCs w:val="28"/>
        </w:rPr>
        <w:t>&lt;&lt;Hier bitte Bezeichnung Studiengang mit Hochschulgrad eintragen&gt;&gt;</w:t>
      </w:r>
    </w:p>
    <w:p>
      <w:pPr>
        <w:pStyle w:val="Normal"/>
        <w:spacing w:before="0" w:after="240"/>
        <w:jc w:val="center"/>
        <w:rPr>
          <w:rFonts w:ascii="Roboto" w:hAnsi="Roboto"/>
        </w:rPr>
      </w:pPr>
      <w:r>
        <w:rPr>
          <w:rFonts w:ascii="Roboto" w:hAnsi="Roboto"/>
          <w:sz w:val="24"/>
          <w:szCs w:val="24"/>
          <w:highlight w:val="yellow"/>
        </w:rPr>
        <w:t>[Bezeichnung Fakultät]</w:t>
      </w:r>
    </w:p>
    <w:p>
      <w:pPr>
        <w:pStyle w:val="Normal"/>
        <w:jc w:val="center"/>
        <w:rPr>
          <w:rFonts w:ascii="Roboto" w:hAnsi="Roboto"/>
        </w:rPr>
      </w:pPr>
      <w:r>
        <w:rPr>
          <w:rFonts w:cs="Arial" w:ascii="Roboto" w:hAnsi="Roboto"/>
          <w:b/>
          <w:bCs/>
        </w:rPr>
        <w:t>Vorlage gemäß §12 Absatz 6 SächsStudAkkVO</w:t>
      </w:r>
    </w:p>
    <w:p>
      <w:pPr>
        <w:pStyle w:val="Normal"/>
        <w:jc w:val="center"/>
        <w:rPr>
          <w:rFonts w:ascii="Roboto" w:hAnsi="Roboto"/>
        </w:rPr>
      </w:pPr>
      <w:r>
        <w:rPr>
          <w:rFonts w:cs="Arial" w:ascii="Roboto" w:hAnsi="Roboto"/>
        </w:rPr>
        <w:t>Für das Verfahren der Internen Akkreditierung an der TU Chemnitz</w:t>
      </w:r>
    </w:p>
    <w:p>
      <w:pPr>
        <w:pStyle w:val="Normal"/>
        <w:rPr>
          <w:rFonts w:ascii="Roboto" w:hAnsi="Roboto"/>
          <w:b/>
        </w:rPr>
      </w:pPr>
      <w:r>
        <w:rPr>
          <w:rFonts w:ascii="Roboto" w:hAnsi="Roboto"/>
          <w:b/>
        </w:rPr>
      </w:r>
    </w:p>
    <w:p>
      <w:pPr>
        <w:pStyle w:val="Heading1"/>
        <w:tabs>
          <w:tab w:val="clear" w:pos="708"/>
          <w:tab w:val="left" w:pos="5529" w:leader="none"/>
        </w:tabs>
        <w:rPr>
          <w:rFonts w:ascii="Roboto" w:hAnsi="Roboto"/>
        </w:rPr>
      </w:pPr>
      <w:r>
        <w:rPr>
          <w:rFonts w:ascii="Roboto" w:hAnsi="Roboto"/>
          <w:b/>
          <w:color w:val="005F50"/>
        </w:rPr>
        <w:t>1. Prüfungen</w:t>
      </w:r>
    </w:p>
    <w:p>
      <w:pPr>
        <w:pStyle w:val="Normal"/>
        <w:jc w:val="both"/>
        <w:rPr>
          <w:rFonts w:ascii="Roboto" w:hAnsi="Roboto"/>
        </w:rPr>
      </w:pPr>
      <w:r>
        <w:rPr>
          <w:rFonts w:cs="Arial" w:ascii="Roboto" w:hAnsi="Roboto"/>
        </w:rPr>
        <w:t>Prüfungen im Sinne dieses Dokuments umfassen alle Leistungsnachweise (z. B. Prüfungen, Studienleistungen, Praktikumsnachweise, Projektarbeiten, Prüfungsvorleistungen), die dem Nachweis des Kompetenzerwerbs dienen und der Prüfungslast zuzurechnen sind.</w:t>
      </w:r>
    </w:p>
    <w:p>
      <w:pPr>
        <w:pStyle w:val="Normal"/>
        <w:jc w:val="both"/>
        <w:rPr>
          <w:rFonts w:ascii="Roboto" w:hAnsi="Roboto"/>
        </w:rPr>
      </w:pPr>
      <w:r>
        <w:rPr>
          <w:rFonts w:cs="Arial" w:ascii="Roboto" w:hAnsi="Roboto"/>
        </w:rPr>
        <w:t>Geben Sie in der Tabelle die Anzahl der Module pro Semester und die Anzahl der Prüfungen pro Semester an. Die Auszählung soll zur besseren Nachvollziehbarkeit die zu absolvierenden Module des Belegungsvorschlags aus dem Studienablaufplan für ein Vollzeitstudium erfassen.</w:t>
      </w:r>
    </w:p>
    <w:p>
      <w:pPr>
        <w:pStyle w:val="Normal"/>
        <w:jc w:val="both"/>
        <w:rPr>
          <w:rFonts w:ascii="Roboto" w:hAnsi="Roboto"/>
        </w:rPr>
      </w:pPr>
      <w:r>
        <w:rPr>
          <w:rFonts w:ascii="Roboto" w:hAnsi="Roboto"/>
        </w:rPr>
      </w:r>
    </w:p>
    <w:tbl>
      <w:tblPr>
        <w:tblW w:w="5000" w:type="pct"/>
        <w:jc w:val="start"/>
        <w:tblInd w:w="-5" w:type="dxa"/>
        <w:tblLayout w:type="fixed"/>
        <w:tblCellMar>
          <w:top w:w="55" w:type="dxa"/>
          <w:start w:w="55" w:type="dxa"/>
          <w:bottom w:w="55" w:type="dxa"/>
          <w:end w:w="55" w:type="dxa"/>
        </w:tblCellMar>
        <w:tblLook w:val="04a0" w:noHBand="0" w:noVBand="1" w:firstColumn="1" w:lastRow="0" w:lastColumn="0" w:firstRow="1"/>
      </w:tblPr>
      <w:tblGrid>
        <w:gridCol w:w="2267"/>
        <w:gridCol w:w="2268"/>
        <w:gridCol w:w="2267"/>
        <w:gridCol w:w="2268"/>
      </w:tblGrid>
      <w:tr>
        <w:trPr/>
        <w:tc>
          <w:tcPr>
            <w:tcW w:w="2267" w:type="dxa"/>
            <w:tcBorders>
              <w:top w:val="single" w:sz="4" w:space="0" w:color="000000"/>
              <w:start w:val="single" w:sz="4" w:space="0" w:color="000000"/>
              <w:bottom w:val="single" w:sz="4" w:space="0" w:color="000000"/>
            </w:tcBorders>
          </w:tcPr>
          <w:p>
            <w:pPr>
              <w:pStyle w:val="Tabelleninhaltuser"/>
              <w:rPr>
                <w:rFonts w:ascii="Roboto" w:hAnsi="Roboto"/>
              </w:rPr>
            </w:pPr>
            <w:r>
              <w:rPr>
                <w:rFonts w:ascii="Roboto" w:hAnsi="Roboto"/>
                <w:b/>
                <w:bCs/>
              </w:rPr>
              <w:t>Semester</w:t>
            </w:r>
          </w:p>
        </w:tc>
        <w:tc>
          <w:tcPr>
            <w:tcW w:w="2268" w:type="dxa"/>
            <w:tcBorders>
              <w:top w:val="single" w:sz="4" w:space="0" w:color="000000"/>
              <w:start w:val="single" w:sz="4" w:space="0" w:color="000000"/>
              <w:bottom w:val="single" w:sz="4" w:space="0" w:color="000000"/>
            </w:tcBorders>
          </w:tcPr>
          <w:p>
            <w:pPr>
              <w:pStyle w:val="Tabelleninhaltuser"/>
              <w:rPr>
                <w:rFonts w:ascii="Roboto" w:hAnsi="Roboto"/>
              </w:rPr>
            </w:pPr>
            <w:r>
              <w:rPr>
                <w:rFonts w:ascii="Roboto" w:hAnsi="Roboto"/>
                <w:b/>
                <w:bCs/>
              </w:rPr>
              <w:t>Anzahl Module</w:t>
            </w:r>
          </w:p>
        </w:tc>
        <w:tc>
          <w:tcPr>
            <w:tcW w:w="2267" w:type="dxa"/>
            <w:tcBorders>
              <w:top w:val="single" w:sz="4" w:space="0" w:color="000000"/>
              <w:start w:val="single" w:sz="4" w:space="0" w:color="000000"/>
              <w:bottom w:val="single" w:sz="4" w:space="0" w:color="000000"/>
            </w:tcBorders>
          </w:tcPr>
          <w:p>
            <w:pPr>
              <w:pStyle w:val="Tabelleninhaltuser"/>
              <w:rPr>
                <w:rFonts w:ascii="Roboto" w:hAnsi="Roboto"/>
              </w:rPr>
            </w:pPr>
            <w:r>
              <w:rPr>
                <w:rFonts w:ascii="Roboto" w:hAnsi="Roboto"/>
                <w:b/>
                <w:bCs/>
              </w:rPr>
              <w:t>Anzahl Prüfungen</w:t>
            </w:r>
          </w:p>
        </w:tc>
        <w:tc>
          <w:tcPr>
            <w:tcW w:w="2268" w:type="dxa"/>
            <w:tcBorders>
              <w:top w:val="single" w:sz="4" w:space="0" w:color="000000"/>
              <w:start w:val="single" w:sz="4" w:space="0" w:color="000000"/>
              <w:bottom w:val="single" w:sz="4" w:space="0" w:color="000000"/>
              <w:end w:val="single" w:sz="4" w:space="0" w:color="000000"/>
            </w:tcBorders>
          </w:tcPr>
          <w:p>
            <w:pPr>
              <w:pStyle w:val="Tabelleninhaltuser"/>
              <w:rPr>
                <w:rFonts w:ascii="Roboto" w:hAnsi="Roboto"/>
              </w:rPr>
            </w:pPr>
            <w:r>
              <w:rPr>
                <w:rFonts w:ascii="Roboto" w:hAnsi="Roboto"/>
                <w:b/>
                <w:bCs/>
              </w:rPr>
              <w:t>Prüfungsformate</w:t>
            </w:r>
          </w:p>
        </w:tc>
      </w:tr>
      <w:tr>
        <w:trPr/>
        <w:tc>
          <w:tcPr>
            <w:tcW w:w="2267" w:type="dxa"/>
            <w:tcBorders>
              <w:start w:val="single" w:sz="4" w:space="0" w:color="000000"/>
              <w:bottom w:val="single" w:sz="4" w:space="0" w:color="000000"/>
            </w:tcBorders>
          </w:tcPr>
          <w:p>
            <w:pPr>
              <w:pStyle w:val="Tabelleninhaltuser"/>
              <w:rPr>
                <w:rFonts w:ascii="Roboto" w:hAnsi="Roboto"/>
              </w:rPr>
            </w:pPr>
            <w:r>
              <w:rPr>
                <w:rFonts w:ascii="Roboto" w:hAnsi="Roboto"/>
              </w:rPr>
              <w:t>1</w:t>
            </w:r>
          </w:p>
        </w:tc>
        <w:tc>
          <w:tcPr>
            <w:tcW w:w="2268" w:type="dxa"/>
            <w:tcBorders>
              <w:start w:val="single" w:sz="4" w:space="0" w:color="000000"/>
              <w:bottom w:val="single" w:sz="4" w:space="0" w:color="000000"/>
            </w:tcBorders>
          </w:tcPr>
          <w:p>
            <w:pPr>
              <w:pStyle w:val="Tabelleninhaltuser"/>
              <w:rPr>
                <w:rFonts w:ascii="Roboto" w:hAnsi="Roboto"/>
              </w:rPr>
            </w:pPr>
            <w:r>
              <w:rPr>
                <w:rFonts w:ascii="Roboto" w:hAnsi="Roboto"/>
              </w:rPr>
              <w:t>5</w:t>
            </w:r>
          </w:p>
        </w:tc>
        <w:tc>
          <w:tcPr>
            <w:tcW w:w="2267" w:type="dxa"/>
            <w:tcBorders>
              <w:start w:val="single" w:sz="4" w:space="0" w:color="000000"/>
              <w:bottom w:val="single" w:sz="4" w:space="0" w:color="000000"/>
            </w:tcBorders>
          </w:tcPr>
          <w:p>
            <w:pPr>
              <w:pStyle w:val="Tabelleninhaltuser"/>
              <w:rPr>
                <w:rFonts w:ascii="Roboto" w:hAnsi="Roboto"/>
              </w:rPr>
            </w:pPr>
            <w:r>
              <w:rPr>
                <w:rFonts w:ascii="Roboto" w:hAnsi="Roboto"/>
              </w:rPr>
              <w:t>5</w:t>
            </w:r>
          </w:p>
        </w:tc>
        <w:tc>
          <w:tcPr>
            <w:tcW w:w="2268" w:type="dxa"/>
            <w:tcBorders>
              <w:start w:val="single" w:sz="4" w:space="0" w:color="000000"/>
              <w:bottom w:val="single" w:sz="4" w:space="0" w:color="000000"/>
              <w:end w:val="single" w:sz="4" w:space="0" w:color="000000"/>
            </w:tcBorders>
          </w:tcPr>
          <w:p>
            <w:pPr>
              <w:pStyle w:val="Tabelleninhaltuser"/>
              <w:rPr>
                <w:rFonts w:ascii="Roboto" w:hAnsi="Roboto"/>
              </w:rPr>
            </w:pPr>
            <w:r>
              <w:rPr>
                <w:rFonts w:ascii="Roboto" w:hAnsi="Roboto"/>
              </w:rPr>
              <w:t>2 Klausuren, 2 Referate, 1 PVL</w:t>
            </w:r>
          </w:p>
        </w:tc>
      </w:tr>
      <w:tr>
        <w:trPr/>
        <w:tc>
          <w:tcPr>
            <w:tcW w:w="2267" w:type="dxa"/>
            <w:tcBorders>
              <w:start w:val="single" w:sz="4" w:space="0" w:color="000000"/>
              <w:bottom w:val="single" w:sz="4" w:space="0" w:color="000000"/>
            </w:tcBorders>
          </w:tcPr>
          <w:p>
            <w:pPr>
              <w:pStyle w:val="Tabelleninhaltuser"/>
              <w:rPr>
                <w:rFonts w:ascii="Roboto" w:hAnsi="Roboto"/>
              </w:rPr>
            </w:pPr>
            <w:r>
              <w:rPr>
                <w:rFonts w:ascii="Roboto" w:hAnsi="Roboto"/>
              </w:rPr>
              <w:t>2</w:t>
            </w:r>
          </w:p>
        </w:tc>
        <w:tc>
          <w:tcPr>
            <w:tcW w:w="2268" w:type="dxa"/>
            <w:tcBorders>
              <w:start w:val="single" w:sz="4" w:space="0" w:color="000000"/>
              <w:bottom w:val="single" w:sz="4" w:space="0" w:color="000000"/>
            </w:tcBorders>
          </w:tcPr>
          <w:p>
            <w:pPr>
              <w:pStyle w:val="Tabelleninhaltuser"/>
              <w:rPr>
                <w:rFonts w:ascii="Roboto" w:hAnsi="Roboto"/>
              </w:rPr>
            </w:pPr>
            <w:r>
              <w:rPr>
                <w:rFonts w:ascii="Roboto" w:hAnsi="Roboto"/>
              </w:rPr>
              <w:t>5</w:t>
            </w:r>
          </w:p>
        </w:tc>
        <w:tc>
          <w:tcPr>
            <w:tcW w:w="2267" w:type="dxa"/>
            <w:tcBorders>
              <w:start w:val="single" w:sz="4" w:space="0" w:color="000000"/>
              <w:bottom w:val="single" w:sz="4" w:space="0" w:color="000000"/>
            </w:tcBorders>
          </w:tcPr>
          <w:p>
            <w:pPr>
              <w:pStyle w:val="Tabelleninhaltuser"/>
              <w:rPr>
                <w:rFonts w:ascii="Roboto" w:hAnsi="Roboto"/>
              </w:rPr>
            </w:pPr>
            <w:r>
              <w:rPr>
                <w:rFonts w:ascii="Roboto" w:hAnsi="Roboto"/>
              </w:rPr>
              <w:t>5</w:t>
            </w:r>
          </w:p>
        </w:tc>
        <w:tc>
          <w:tcPr>
            <w:tcW w:w="2268" w:type="dxa"/>
            <w:tcBorders>
              <w:start w:val="single" w:sz="4" w:space="0" w:color="000000"/>
              <w:bottom w:val="single" w:sz="4" w:space="0" w:color="000000"/>
              <w:end w:val="single" w:sz="4" w:space="0" w:color="000000"/>
            </w:tcBorders>
          </w:tcPr>
          <w:p>
            <w:pPr>
              <w:pStyle w:val="Tabelleninhaltuser"/>
              <w:rPr>
                <w:rFonts w:ascii="Roboto" w:hAnsi="Roboto"/>
              </w:rPr>
            </w:pPr>
            <w:r>
              <w:rPr>
                <w:rFonts w:ascii="Roboto" w:hAnsi="Roboto"/>
              </w:rPr>
              <w:t>4 Klausuren, 1 Übungsaufgabe</w:t>
            </w:r>
          </w:p>
        </w:tc>
      </w:tr>
      <w:tr>
        <w:trPr/>
        <w:tc>
          <w:tcPr>
            <w:tcW w:w="2267" w:type="dxa"/>
            <w:tcBorders>
              <w:start w:val="single" w:sz="4" w:space="0" w:color="000000"/>
              <w:bottom w:val="single" w:sz="4" w:space="0" w:color="000000"/>
            </w:tcBorders>
          </w:tcPr>
          <w:p>
            <w:pPr>
              <w:pStyle w:val="Tabelleninhaltuser"/>
              <w:rPr>
                <w:rFonts w:ascii="Roboto" w:hAnsi="Roboto"/>
              </w:rPr>
            </w:pPr>
            <w:r>
              <w:rPr>
                <w:rFonts w:ascii="Roboto" w:hAnsi="Roboto"/>
              </w:rPr>
              <w:t>3</w:t>
            </w:r>
          </w:p>
        </w:tc>
        <w:tc>
          <w:tcPr>
            <w:tcW w:w="2268" w:type="dxa"/>
            <w:tcBorders>
              <w:start w:val="single" w:sz="4" w:space="0" w:color="000000"/>
              <w:bottom w:val="single" w:sz="4" w:space="0" w:color="000000"/>
            </w:tcBorders>
          </w:tcPr>
          <w:p>
            <w:pPr>
              <w:pStyle w:val="Tabelleninhaltuser"/>
              <w:rPr>
                <w:rFonts w:ascii="Roboto" w:hAnsi="Roboto"/>
              </w:rPr>
            </w:pPr>
            <w:r>
              <w:rPr>
                <w:rFonts w:ascii="Roboto" w:hAnsi="Roboto"/>
              </w:rPr>
              <w:t>4-5</w:t>
            </w:r>
          </w:p>
        </w:tc>
        <w:tc>
          <w:tcPr>
            <w:tcW w:w="2267" w:type="dxa"/>
            <w:tcBorders>
              <w:start w:val="single" w:sz="4" w:space="0" w:color="000000"/>
              <w:bottom w:val="single" w:sz="4" w:space="0" w:color="000000"/>
            </w:tcBorders>
          </w:tcPr>
          <w:p>
            <w:pPr>
              <w:pStyle w:val="Tabelleninhaltuser"/>
              <w:rPr>
                <w:rFonts w:ascii="Roboto" w:hAnsi="Roboto"/>
              </w:rPr>
            </w:pPr>
            <w:r>
              <w:rPr>
                <w:rFonts w:ascii="Roboto" w:hAnsi="Roboto"/>
              </w:rPr>
              <w:t>4-5</w:t>
            </w:r>
          </w:p>
        </w:tc>
        <w:tc>
          <w:tcPr>
            <w:tcW w:w="2268" w:type="dxa"/>
            <w:tcBorders>
              <w:start w:val="single" w:sz="4" w:space="0" w:color="000000"/>
              <w:bottom w:val="single" w:sz="4" w:space="0" w:color="000000"/>
              <w:end w:val="single" w:sz="4" w:space="0" w:color="000000"/>
            </w:tcBorders>
          </w:tcPr>
          <w:p>
            <w:pPr>
              <w:pStyle w:val="Tabelleninhaltuser"/>
              <w:rPr>
                <w:rFonts w:ascii="Roboto" w:hAnsi="Roboto"/>
              </w:rPr>
            </w:pPr>
            <w:r>
              <w:rPr>
                <w:rFonts w:ascii="Roboto" w:hAnsi="Roboto"/>
              </w:rPr>
              <w:t>...</w:t>
            </w:r>
          </w:p>
        </w:tc>
      </w:tr>
      <w:tr>
        <w:trPr/>
        <w:tc>
          <w:tcPr>
            <w:tcW w:w="2267" w:type="dxa"/>
            <w:tcBorders>
              <w:start w:val="single" w:sz="4" w:space="0" w:color="000000"/>
              <w:bottom w:val="single" w:sz="4" w:space="0" w:color="000000"/>
            </w:tcBorders>
          </w:tcPr>
          <w:p>
            <w:pPr>
              <w:pStyle w:val="Tabelleninhaltuser"/>
              <w:rPr>
                <w:rFonts w:ascii="Roboto" w:hAnsi="Roboto"/>
              </w:rPr>
            </w:pPr>
            <w:r>
              <w:rPr>
                <w:rFonts w:ascii="Roboto" w:hAnsi="Roboto"/>
              </w:rPr>
              <w:t>4</w:t>
            </w:r>
          </w:p>
        </w:tc>
        <w:tc>
          <w:tcPr>
            <w:tcW w:w="2268" w:type="dxa"/>
            <w:tcBorders>
              <w:start w:val="single" w:sz="4" w:space="0" w:color="000000"/>
              <w:bottom w:val="single" w:sz="4" w:space="0" w:color="000000"/>
            </w:tcBorders>
          </w:tcPr>
          <w:p>
            <w:pPr>
              <w:pStyle w:val="Tabelleninhaltuser"/>
              <w:rPr>
                <w:rFonts w:ascii="Roboto" w:hAnsi="Roboto"/>
              </w:rPr>
            </w:pPr>
            <w:r>
              <w:rPr>
                <w:rFonts w:ascii="Roboto" w:hAnsi="Roboto"/>
              </w:rPr>
              <w:t>3 (inkl. Masterarbeit und Kolloquium</w:t>
            </w:r>
          </w:p>
        </w:tc>
        <w:tc>
          <w:tcPr>
            <w:tcW w:w="2267" w:type="dxa"/>
            <w:tcBorders>
              <w:start w:val="single" w:sz="4" w:space="0" w:color="000000"/>
              <w:bottom w:val="single" w:sz="4" w:space="0" w:color="000000"/>
            </w:tcBorders>
          </w:tcPr>
          <w:p>
            <w:pPr>
              <w:pStyle w:val="Tabelleninhaltuser"/>
              <w:rPr>
                <w:rFonts w:ascii="Roboto" w:hAnsi="Roboto"/>
              </w:rPr>
            </w:pPr>
            <w:r>
              <w:rPr>
                <w:rFonts w:ascii="Roboto" w:hAnsi="Roboto"/>
              </w:rPr>
              <w:t>3</w:t>
            </w:r>
          </w:p>
        </w:tc>
        <w:tc>
          <w:tcPr>
            <w:tcW w:w="2268" w:type="dxa"/>
            <w:tcBorders>
              <w:start w:val="single" w:sz="4" w:space="0" w:color="000000"/>
              <w:bottom w:val="single" w:sz="4" w:space="0" w:color="000000"/>
              <w:end w:val="single" w:sz="4" w:space="0" w:color="000000"/>
            </w:tcBorders>
          </w:tcPr>
          <w:p>
            <w:pPr>
              <w:pStyle w:val="Tabelleninhaltuser"/>
              <w:rPr>
                <w:rFonts w:ascii="Roboto" w:hAnsi="Roboto"/>
              </w:rPr>
            </w:pPr>
            <w:r>
              <w:rPr>
                <w:rFonts w:ascii="Roboto" w:hAnsi="Roboto"/>
              </w:rPr>
              <w:t>...</w:t>
            </w:r>
          </w:p>
        </w:tc>
      </w:tr>
      <w:tr>
        <w:trPr/>
        <w:tc>
          <w:tcPr>
            <w:tcW w:w="2267" w:type="dxa"/>
            <w:tcBorders>
              <w:start w:val="single" w:sz="4" w:space="0" w:color="000000"/>
              <w:bottom w:val="single" w:sz="4" w:space="0" w:color="000000"/>
            </w:tcBorders>
          </w:tcPr>
          <w:p>
            <w:pPr>
              <w:pStyle w:val="Tabelleninhaltuser"/>
              <w:rPr>
                <w:rFonts w:ascii="Roboto" w:hAnsi="Roboto"/>
              </w:rPr>
            </w:pPr>
            <w:r>
              <w:rPr>
                <w:rFonts w:ascii="Roboto" w:hAnsi="Roboto"/>
                <w:b/>
                <w:bCs/>
              </w:rPr>
              <w:t>Gesamt</w:t>
            </w:r>
          </w:p>
        </w:tc>
        <w:tc>
          <w:tcPr>
            <w:tcW w:w="2268" w:type="dxa"/>
            <w:tcBorders>
              <w:start w:val="single" w:sz="4" w:space="0" w:color="000000"/>
              <w:bottom w:val="single" w:sz="4" w:space="0" w:color="000000"/>
            </w:tcBorders>
          </w:tcPr>
          <w:p>
            <w:pPr>
              <w:pStyle w:val="Tabelleninhaltuser"/>
              <w:rPr>
                <w:rFonts w:ascii="Roboto" w:hAnsi="Roboto"/>
              </w:rPr>
            </w:pPr>
            <w:r>
              <w:rPr>
                <w:rFonts w:ascii="Roboto" w:hAnsi="Roboto"/>
                <w:b/>
                <w:bCs/>
              </w:rPr>
              <w:t>17-18</w:t>
            </w:r>
          </w:p>
        </w:tc>
        <w:tc>
          <w:tcPr>
            <w:tcW w:w="2267" w:type="dxa"/>
            <w:tcBorders>
              <w:start w:val="single" w:sz="4" w:space="0" w:color="000000"/>
              <w:bottom w:val="single" w:sz="4" w:space="0" w:color="000000"/>
            </w:tcBorders>
          </w:tcPr>
          <w:p>
            <w:pPr>
              <w:pStyle w:val="Tabelleninhaltuser"/>
              <w:rPr>
                <w:rFonts w:ascii="Roboto" w:hAnsi="Roboto"/>
              </w:rPr>
            </w:pPr>
            <w:r>
              <w:rPr>
                <w:rFonts w:ascii="Roboto" w:hAnsi="Roboto"/>
                <w:b/>
                <w:bCs/>
              </w:rPr>
              <w:t>17-18</w:t>
            </w:r>
          </w:p>
        </w:tc>
        <w:tc>
          <w:tcPr>
            <w:tcW w:w="2268" w:type="dxa"/>
            <w:tcBorders>
              <w:start w:val="single" w:sz="4" w:space="0" w:color="000000"/>
              <w:bottom w:val="single" w:sz="4" w:space="0" w:color="000000"/>
              <w:end w:val="single" w:sz="4" w:space="0" w:color="000000"/>
            </w:tcBorders>
          </w:tcPr>
          <w:p>
            <w:pPr>
              <w:pStyle w:val="Tabelleninhaltuser"/>
              <w:rPr>
                <w:rFonts w:ascii="Roboto" w:hAnsi="Roboto"/>
              </w:rPr>
            </w:pPr>
            <w:r>
              <w:rPr>
                <w:rFonts w:ascii="Roboto" w:hAnsi="Roboto"/>
              </w:rPr>
            </w:r>
          </w:p>
        </w:tc>
      </w:tr>
    </w:tbl>
    <w:p>
      <w:pPr>
        <w:pStyle w:val="Normal"/>
        <w:rPr/>
      </w:pPr>
      <w:r>
        <w:rPr/>
      </w:r>
    </w:p>
    <w:p>
      <w:pPr>
        <w:pStyle w:val="Normal"/>
        <w:jc w:val="both"/>
        <w:rPr>
          <w:rFonts w:ascii="Roboto" w:hAnsi="Roboto"/>
        </w:rPr>
      </w:pPr>
      <w:r>
        <w:rPr>
          <w:rFonts w:ascii="Roboto" w:hAnsi="Roboto"/>
        </w:rPr>
      </w:r>
    </w:p>
    <w:p>
      <w:pPr>
        <w:pStyle w:val="Heading1"/>
        <w:rPr>
          <w:rFonts w:ascii="Roboto" w:hAnsi="Roboto"/>
        </w:rPr>
      </w:pPr>
      <w:r>
        <w:rPr>
          <w:rFonts w:ascii="Roboto" w:hAnsi="Roboto"/>
          <w:b/>
          <w:color w:val="005F50"/>
        </w:rPr>
        <w:t>2. Prüfungskombinationen</w:t>
      </w:r>
    </w:p>
    <w:p>
      <w:pPr>
        <w:pStyle w:val="Normal"/>
        <w:rPr>
          <w:rFonts w:ascii="Roboto" w:hAnsi="Roboto"/>
        </w:rPr>
      </w:pPr>
      <w:r>
        <w:rPr>
          <w:rFonts w:cs="Arial" w:ascii="Roboto" w:hAnsi="Roboto"/>
        </w:rPr>
        <w:t xml:space="preserve">Bitte stellen Sie im Folgenden dar, welche systematischen Kombinationen von Prüfungsformen im Studiengang vorkommen. </w:t>
      </w:r>
      <w:r>
        <w:rPr>
          <w:rFonts w:ascii="Roboto" w:hAnsi="Roboto"/>
        </w:rPr>
        <w:t>Bitte bestimmen Sie – je nach dem Bedarf im Studiengang – die Anzahl der Prüfungskombinationen und legen Sie dafür jeweils eine eigene Tabelle an.</w:t>
      </w:r>
    </w:p>
    <w:p>
      <w:pPr>
        <w:pStyle w:val="Normal"/>
        <w:jc w:val="both"/>
        <w:rPr>
          <w:rFonts w:ascii="Roboto" w:hAnsi="Roboto" w:cs="Arial"/>
        </w:rPr>
      </w:pPr>
      <w:r>
        <w:rPr>
          <w:rFonts w:cs="Arial" w:ascii="Roboto" w:hAnsi="Roboto"/>
        </w:rPr>
      </w:r>
    </w:p>
    <w:p>
      <w:pPr>
        <w:pStyle w:val="Normal"/>
        <w:rPr>
          <w:rFonts w:ascii="Roboto" w:hAnsi="Roboto"/>
        </w:rPr>
      </w:pPr>
      <w:r>
        <w:rPr>
          <w:rFonts w:cs="Arial" w:ascii="Roboto" w:hAnsi="Roboto"/>
          <w:b/>
          <w:bCs/>
        </w:rPr>
        <w:t>Tabelle 1: Prüfungskombinationen 1 im Studiengang</w:t>
      </w:r>
    </w:p>
    <w:tbl>
      <w:tblPr>
        <w:tblW w:w="9072" w:type="dxa"/>
        <w:jc w:val="start"/>
        <w:tblInd w:w="-5" w:type="dxa"/>
        <w:tblLayout w:type="fixed"/>
        <w:tblCellMar>
          <w:top w:w="15" w:type="dxa"/>
          <w:start w:w="15" w:type="dxa"/>
          <w:bottom w:w="15" w:type="dxa"/>
          <w:end w:w="15" w:type="dxa"/>
        </w:tblCellMar>
        <w:tblLook w:val="04a0" w:noHBand="0" w:noVBand="1" w:firstColumn="1" w:lastRow="0" w:lastColumn="0" w:firstRow="1"/>
      </w:tblPr>
      <w:tblGrid>
        <w:gridCol w:w="1974"/>
        <w:gridCol w:w="1711"/>
        <w:gridCol w:w="5387"/>
      </w:tblGrid>
      <w:tr>
        <w:trPr>
          <w:tblHeader w:val="true"/>
          <w:trHeight w:val="708" w:hRule="atLeast"/>
        </w:trPr>
        <w:tc>
          <w:tcPr>
            <w:tcW w:w="1974" w:type="dxa"/>
            <w:tcBorders>
              <w:top w:val="single" w:sz="4" w:space="0" w:color="000000"/>
              <w:start w:val="single" w:sz="4" w:space="0" w:color="000000"/>
              <w:bottom w:val="single" w:sz="4" w:space="0" w:color="000000"/>
              <w:end w:val="single" w:sz="4" w:space="0" w:color="000000"/>
            </w:tcBorders>
            <w:vAlign w:val="center"/>
          </w:tcPr>
          <w:p>
            <w:pPr>
              <w:pStyle w:val="Normal"/>
              <w:rPr>
                <w:rFonts w:ascii="Roboto" w:hAnsi="Roboto"/>
              </w:rPr>
            </w:pPr>
            <w:r>
              <w:rPr>
                <w:rFonts w:cs="Arial" w:ascii="Roboto" w:hAnsi="Roboto"/>
                <w:b/>
                <w:bCs/>
              </w:rPr>
              <w:t>Modulnummer</w:t>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rPr>
                <w:rFonts w:ascii="Roboto" w:hAnsi="Roboto"/>
              </w:rPr>
            </w:pPr>
            <w:r>
              <w:rPr>
                <w:rFonts w:cs="Arial" w:ascii="Roboto" w:hAnsi="Roboto"/>
                <w:b/>
                <w:bCs/>
              </w:rPr>
              <w:t>Prüfungs-kombinationen</w:t>
            </w:r>
          </w:p>
        </w:tc>
        <w:tc>
          <w:tcPr>
            <w:tcW w:w="5387" w:type="dxa"/>
            <w:tcBorders>
              <w:top w:val="single" w:sz="4" w:space="0" w:color="000000"/>
              <w:start w:val="single" w:sz="4" w:space="0" w:color="000000"/>
              <w:bottom w:val="single" w:sz="4" w:space="0" w:color="000000"/>
              <w:end w:val="single" w:sz="4" w:space="0" w:color="000000"/>
            </w:tcBorders>
            <w:vAlign w:val="center"/>
          </w:tcPr>
          <w:p>
            <w:pPr>
              <w:pStyle w:val="Normal"/>
              <w:rPr>
                <w:rFonts w:ascii="Roboto" w:hAnsi="Roboto"/>
              </w:rPr>
            </w:pPr>
            <w:r>
              <w:rPr>
                <w:rFonts w:cs="Arial" w:ascii="Roboto" w:hAnsi="Roboto"/>
                <w:b/>
                <w:bCs/>
              </w:rPr>
              <w:t>Didaktische Begründung (kompetenzorientiert)</w:t>
            </w:r>
          </w:p>
        </w:tc>
      </w:tr>
      <w:tr>
        <w:trPr/>
        <w:tc>
          <w:tcPr>
            <w:tcW w:w="1974" w:type="dxa"/>
            <w:tcBorders>
              <w:top w:val="single" w:sz="4" w:space="0" w:color="000000"/>
              <w:start w:val="single" w:sz="4" w:space="0" w:color="000000"/>
              <w:bottom w:val="single" w:sz="4" w:space="0" w:color="000000"/>
              <w:end w:val="single" w:sz="4" w:space="0" w:color="000000"/>
            </w:tcBorders>
            <w:vAlign w:val="center"/>
          </w:tcPr>
          <w:p>
            <w:pPr>
              <w:pStyle w:val="Normal"/>
              <w:rPr>
                <w:rFonts w:ascii="Roboto" w:hAnsi="Roboto"/>
              </w:rPr>
            </w:pPr>
            <w:r>
              <w:rPr>
                <w:rFonts w:cs="Arial" w:ascii="Roboto" w:hAnsi="Roboto"/>
                <w:color w:themeColor="accent2" w:themeShade="bf" w:val="C45911"/>
                <w:sz w:val="20"/>
                <w:szCs w:val="20"/>
              </w:rPr>
              <w:t>Einführung in die BWL</w:t>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false"/>
              <w:rPr>
                <w:rFonts w:ascii="Roboto" w:hAnsi="Roboto"/>
              </w:rPr>
            </w:pPr>
            <w:r>
              <w:rPr>
                <w:rFonts w:eastAsia="Calibri" w:cs="Roboto-Regular" w:ascii="Roboto-Regular" w:hAnsi="Roboto-Regular" w:eastAsiaTheme="minorHAnsi"/>
                <w:color w:val="C55911"/>
                <w:sz w:val="20"/>
                <w:szCs w:val="20"/>
                <w:lang w:eastAsia="en-US"/>
              </w:rPr>
              <w:t>Präsentation (semesterbegleitend) + Klausur (abschließend)</w:t>
            </w:r>
          </w:p>
        </w:tc>
        <w:tc>
          <w:tcPr>
            <w:tcW w:w="538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8" w:before="0" w:after="160"/>
              <w:rPr>
                <w:rFonts w:ascii="Roboto" w:hAnsi="Roboto"/>
              </w:rPr>
            </w:pPr>
            <w:r>
              <w:rPr>
                <w:rFonts w:cs="Arial" w:ascii="Roboto" w:hAnsi="Roboto"/>
              </w:rPr>
              <w:t>Warum ist zur Zielüberprüfung mehr als eine Prüfungsform erforderlich?</w:t>
            </w:r>
          </w:p>
          <w:p>
            <w:pPr>
              <w:pStyle w:val="Normal"/>
              <w:rPr>
                <w:rFonts w:ascii="Roboto" w:hAnsi="Roboto"/>
              </w:rPr>
            </w:pPr>
            <w:r>
              <w:rPr>
                <w:rFonts w:cs="Arial" w:ascii="Roboto" w:hAnsi="Roboto"/>
                <w:i/>
                <w:iCs/>
                <w:color w:themeColor="accent2" w:themeShade="bf" w:val="C45911"/>
                <w:sz w:val="20"/>
                <w:szCs w:val="20"/>
              </w:rPr>
              <w:t>Die folgenden Textbeispiele dienen der Hilfestellung:</w:t>
            </w:r>
          </w:p>
          <w:p>
            <w:pPr>
              <w:pStyle w:val="Normal"/>
              <w:rPr>
                <w:rFonts w:ascii="Roboto" w:hAnsi="Roboto"/>
              </w:rPr>
            </w:pPr>
            <w:r>
              <w:rPr>
                <w:rFonts w:cs="Arial" w:ascii="Roboto" w:hAnsi="Roboto"/>
                <w:color w:themeColor="accent2" w:themeShade="bf" w:val="C45911"/>
                <w:sz w:val="20"/>
                <w:szCs w:val="20"/>
              </w:rPr>
              <w:t>Die Kombination aus [Präsentation] und [Klausur] ist notwendig, um [Begründung auf Basis kompetenzorientierten Prüfens].</w:t>
            </w:r>
          </w:p>
          <w:p>
            <w:pPr>
              <w:pStyle w:val="Normal"/>
              <w:rPr>
                <w:rFonts w:ascii="Roboto" w:hAnsi="Roboto"/>
              </w:rPr>
            </w:pPr>
            <w:r>
              <w:rPr>
                <w:rFonts w:cs="Arial" w:ascii="Roboto" w:hAnsi="Roboto"/>
                <w:color w:themeColor="accent2" w:themeShade="bf" w:val="C45911"/>
                <w:sz w:val="20"/>
                <w:szCs w:val="20"/>
              </w:rPr>
              <w:t>Durch die Kombination aus [Präsentation] und [Klausur] ist es möglich, einen komplexen Kompetenzerwerb hinsichtlich [Modul-Qualifikationsziel A], als auch [Modul-Qualifikationsziel B] adäquat festzustellen.</w:t>
            </w:r>
          </w:p>
          <w:p>
            <w:pPr>
              <w:pStyle w:val="Normal"/>
              <w:rPr>
                <w:rFonts w:ascii="Roboto" w:hAnsi="Roboto"/>
              </w:rPr>
            </w:pPr>
            <w:r>
              <w:rPr>
                <w:rFonts w:cs="Arial" w:ascii="Roboto" w:hAnsi="Roboto"/>
                <w:color w:themeColor="accent2" w:themeShade="bf" w:val="C45911"/>
                <w:sz w:val="20"/>
                <w:szCs w:val="20"/>
              </w:rPr>
              <w:t>Durch die Kombination aus [Präsentation] und [Klausur] wird gewährleistet, dass [kompetenzbezogene Begründung]. / Ohne sie kann nicht gewährleistet werden, dass (…).</w:t>
            </w:r>
          </w:p>
        </w:tc>
      </w:tr>
      <w:tr>
        <w:trPr/>
        <w:tc>
          <w:tcPr>
            <w:tcW w:w="1974" w:type="dxa"/>
            <w:tcBorders>
              <w:top w:val="single" w:sz="4" w:space="0" w:color="000000"/>
              <w:start w:val="single" w:sz="4" w:space="0" w:color="000000"/>
              <w:bottom w:val="single" w:sz="4" w:space="0" w:color="000000"/>
              <w:end w:val="single" w:sz="4" w:space="0" w:color="000000"/>
            </w:tcBorders>
            <w:vAlign w:val="center"/>
          </w:tcPr>
          <w:p>
            <w:pPr>
              <w:pStyle w:val="Normal"/>
              <w:rPr>
                <w:rFonts w:ascii="Roboto" w:hAnsi="Roboto"/>
              </w:rPr>
            </w:pPr>
            <w:r>
              <w:rPr>
                <w:rFonts w:cs="Arial" w:ascii="Roboto" w:hAnsi="Roboto"/>
                <w:sz w:val="20"/>
                <w:szCs w:val="20"/>
              </w:rPr>
              <w:t>Modul</w:t>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8" w:before="0" w:after="160"/>
              <w:rPr>
                <w:rFonts w:ascii="Roboto" w:hAnsi="Roboto" w:cs="Arial"/>
                <w:sz w:val="20"/>
                <w:szCs w:val="20"/>
              </w:rPr>
            </w:pPr>
            <w:r>
              <w:rPr>
                <w:rFonts w:cs="Arial" w:ascii="Roboto" w:hAnsi="Roboto"/>
                <w:sz w:val="20"/>
                <w:szCs w:val="20"/>
              </w:rPr>
              <w:t>Prüfungsform + Prüfungsform</w:t>
            </w:r>
          </w:p>
        </w:tc>
        <w:tc>
          <w:tcPr>
            <w:tcW w:w="5387" w:type="dxa"/>
            <w:tcBorders>
              <w:top w:val="single" w:sz="4" w:space="0" w:color="000000"/>
              <w:start w:val="single" w:sz="4" w:space="0" w:color="000000"/>
              <w:bottom w:val="single" w:sz="4" w:space="0" w:color="000000"/>
              <w:end w:val="single" w:sz="4" w:space="0" w:color="000000"/>
            </w:tcBorders>
            <w:vAlign w:val="center"/>
          </w:tcPr>
          <w:p>
            <w:pPr>
              <w:pStyle w:val="ListParagraph"/>
              <w:numPr>
                <w:ilvl w:val="0"/>
                <w:numId w:val="2"/>
              </w:numPr>
              <w:spacing w:lineRule="auto" w:line="278" w:before="0" w:after="160"/>
              <w:contextualSpacing/>
              <w:rPr>
                <w:rFonts w:ascii="Roboto" w:hAnsi="Roboto"/>
              </w:rPr>
            </w:pPr>
            <w:r>
              <w:rPr>
                <w:rFonts w:cs="Arial" w:ascii="Roboto" w:hAnsi="Roboto"/>
                <w:sz w:val="20"/>
                <w:szCs w:val="20"/>
              </w:rPr>
              <w:t xml:space="preserve">Begründung </w:t>
            </w:r>
          </w:p>
          <w:p>
            <w:pPr>
              <w:pStyle w:val="Normal"/>
              <w:rPr>
                <w:rFonts w:ascii="Roboto" w:hAnsi="Roboto"/>
              </w:rPr>
            </w:pPr>
            <w:r>
              <w:rPr>
                <w:rFonts w:ascii="Roboto" w:hAnsi="Roboto"/>
              </w:rPr>
            </w:r>
          </w:p>
        </w:tc>
      </w:tr>
      <w:tr>
        <w:trPr/>
        <w:tc>
          <w:tcPr>
            <w:tcW w:w="1974" w:type="dxa"/>
            <w:tcBorders>
              <w:top w:val="single" w:sz="4" w:space="0" w:color="000000"/>
              <w:start w:val="single" w:sz="4" w:space="0" w:color="000000"/>
              <w:bottom w:val="single" w:sz="4" w:space="0" w:color="000000"/>
              <w:end w:val="single" w:sz="4" w:space="0" w:color="000000"/>
            </w:tcBorders>
            <w:vAlign w:val="center"/>
          </w:tcPr>
          <w:p>
            <w:pPr>
              <w:pStyle w:val="Normal"/>
              <w:rPr>
                <w:rFonts w:ascii="Roboto" w:hAnsi="Roboto" w:cs="Arial"/>
                <w:sz w:val="20"/>
                <w:szCs w:val="20"/>
              </w:rPr>
            </w:pPr>
            <w:r>
              <w:rPr>
                <w:rFonts w:cs="Arial" w:ascii="Roboto" w:hAnsi="Roboto"/>
                <w:sz w:val="20"/>
                <w:szCs w:val="20"/>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rPr>
                <w:rFonts w:ascii="Roboto" w:hAnsi="Roboto" w:cs="Arial"/>
                <w:sz w:val="20"/>
                <w:szCs w:val="20"/>
              </w:rPr>
            </w:pPr>
            <w:r>
              <w:rPr>
                <w:rFonts w:cs="Arial" w:ascii="Roboto" w:hAnsi="Roboto"/>
                <w:sz w:val="20"/>
                <w:szCs w:val="20"/>
              </w:rPr>
            </w:r>
          </w:p>
        </w:tc>
        <w:tc>
          <w:tcPr>
            <w:tcW w:w="5387" w:type="dxa"/>
            <w:tcBorders>
              <w:top w:val="single" w:sz="4" w:space="0" w:color="000000"/>
              <w:start w:val="single" w:sz="4" w:space="0" w:color="000000"/>
              <w:bottom w:val="single" w:sz="4" w:space="0" w:color="000000"/>
              <w:end w:val="single" w:sz="4" w:space="0" w:color="000000"/>
            </w:tcBorders>
            <w:vAlign w:val="center"/>
          </w:tcPr>
          <w:p>
            <w:pPr>
              <w:pStyle w:val="Normal"/>
              <w:rPr>
                <w:rFonts w:ascii="Roboto" w:hAnsi="Roboto" w:cs="Arial"/>
                <w:sz w:val="20"/>
                <w:szCs w:val="20"/>
              </w:rPr>
            </w:pPr>
            <w:r>
              <w:rPr>
                <w:rFonts w:cs="Arial" w:ascii="Roboto" w:hAnsi="Roboto"/>
                <w:sz w:val="20"/>
                <w:szCs w:val="20"/>
              </w:rPr>
            </w:r>
          </w:p>
        </w:tc>
      </w:tr>
    </w:tbl>
    <w:p>
      <w:pPr>
        <w:pStyle w:val="Normal"/>
        <w:rPr>
          <w:rFonts w:ascii="Roboto" w:hAnsi="Roboto"/>
        </w:rPr>
      </w:pPr>
      <w:r>
        <w:rPr>
          <w:rFonts w:ascii="Roboto" w:hAnsi="Roboto"/>
        </w:rPr>
      </w:r>
    </w:p>
    <w:p>
      <w:pPr>
        <w:pStyle w:val="Heading1"/>
        <w:tabs>
          <w:tab w:val="clear" w:pos="708"/>
          <w:tab w:val="left" w:pos="5529" w:leader="none"/>
        </w:tabs>
        <w:rPr>
          <w:rFonts w:ascii="Roboto" w:hAnsi="Roboto"/>
        </w:rPr>
      </w:pPr>
      <w:r>
        <w:rPr>
          <w:rFonts w:ascii="Roboto" w:hAnsi="Roboto"/>
          <w:b/>
          <w:color w:val="005F50"/>
        </w:rPr>
        <w:t>3. Belastungsangemessenheit</w:t>
      </w:r>
    </w:p>
    <w:p>
      <w:pPr>
        <w:pStyle w:val="Normal"/>
        <w:jc w:val="both"/>
        <w:rPr>
          <w:rFonts w:ascii="Roboto" w:hAnsi="Roboto" w:cs="Arial"/>
          <w:i/>
          <w:iCs/>
        </w:rPr>
      </w:pPr>
      <w:r>
        <w:rPr>
          <w:rFonts w:cs="Arial" w:ascii="Roboto" w:hAnsi="Roboto"/>
          <w:i/>
          <w:iCs/>
        </w:rPr>
      </w:r>
    </w:p>
    <w:p>
      <w:pPr>
        <w:pStyle w:val="Normal"/>
        <w:jc w:val="both"/>
        <w:rPr/>
      </w:pPr>
      <w:r>
        <w:rPr>
          <w:rFonts w:cs="Arial" w:ascii="Roboto" w:hAnsi="Roboto"/>
        </w:rPr>
        <w:t>Bitte erklären Sie, wie das Prüfungssystem in seiner Gesamtheit die angestrebten Kompetenzziele angemessen, systematisch, belastungsangemessen und studierbar abbildet.</w:t>
      </w:r>
    </w:p>
    <w:p>
      <w:pPr>
        <w:pStyle w:val="Normal"/>
        <w:jc w:val="both"/>
        <w:rPr/>
      </w:pPr>
      <w:bookmarkStart w:id="1" w:name="__DdeLink__179_226003479"/>
      <w:r>
        <w:rPr>
          <w:rFonts w:cs="Arial" w:ascii="Roboto" w:hAnsi="Roboto"/>
        </w:rPr>
        <w:t xml:space="preserve">Bitte erläutern Sie insbesondere: Wie wird die Studierbarkeit und Belastungsangemessenheit auf Basis der Monitoringergebnisse und aus der Sicht der Studierenden eingeschätzt? (z.B. TUCpanel, TUCtap, Diskussionen der Studienkommission, Stellungnahme des FSR, Lehrevaluation, statistische Kennziffern, Absolventenquote) </w:t>
      </w:r>
      <w:bookmarkEnd w:id="1"/>
    </w:p>
    <w:p>
      <w:pPr>
        <w:pStyle w:val="Normal"/>
        <w:rPr>
          <w:rFonts w:ascii="Roboto" w:hAnsi="Roboto" w:cs="Calibri" w:cstheme="minorHAnsi"/>
          <w:color w:val="000000"/>
        </w:rPr>
      </w:pPr>
      <w:r>
        <w:rPr>
          <w:rFonts w:cs="Calibri" w:cstheme="minorHAnsi" w:ascii="Roboto" w:hAnsi="Roboto"/>
          <w:color w:val="000000"/>
        </w:rPr>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418" w:right="1418" w:gutter="0" w:header="709" w:top="1418"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Calibri">
    <w:charset w:val="01" w:characterSet="utf-8"/>
    <w:family w:val="roman"/>
    <w:pitch w:val="variable"/>
  </w:font>
  <w:font w:name="Arial">
    <w:charset w:val="01" w:characterSet="utf-8"/>
    <w:family w:val="swiss"/>
    <w:pitch w:val="variable"/>
  </w:font>
  <w:font w:name="Calibri Light">
    <w:charset w:val="01" w:characterSet="utf-8"/>
    <w:family w:val="swiss"/>
    <w:pitch w:val="variable"/>
  </w:font>
  <w:font w:name="Times New Roman">
    <w:charset w:val="01" w:characterSet="utf-8"/>
    <w:family w:val="roman"/>
    <w:pitch w:val="variable"/>
  </w:font>
  <w:font w:name="Segoe UI">
    <w:charset w:val="01" w:characterSet="utf-8"/>
    <w:family w:val="swiss"/>
    <w:pitch w:val="variable"/>
  </w:font>
  <w:font w:name="Calibri Light">
    <w:charset w:val="01" w:characterSet="utf-8"/>
    <w:family w:val="roman"/>
    <w:pitch w:val="variable"/>
  </w:font>
  <w:font w:name="Calibri">
    <w:charset w:val="01" w:characterSet="utf-8"/>
    <w:family w:val="swiss"/>
    <w:pitch w:val="variable"/>
  </w:font>
  <w:font w:name="Carlito">
    <w:altName w:val="Calibri"/>
    <w:charset w:val="01" w:characterSet="utf-8"/>
    <w:family w:val="swiss"/>
    <w:pitch w:val="variable"/>
  </w:font>
  <w:font w:name="Roboto Condensed">
    <w:charset w:val="01" w:characterSet="utf-8"/>
    <w:family w:val="swiss"/>
    <w:pitch w:val="variable"/>
  </w:font>
  <w:font w:name="Roboto">
    <w:charset w:val="01" w:characterSet="utf-8"/>
    <w:family w:val="roman"/>
    <w:pitch w:val="variable"/>
  </w:font>
  <w:font w:name="Roboto">
    <w:charset w:val="01" w:characterSet="utf-8"/>
    <w:family w:val="swiss"/>
    <w:pitch w:val="variable"/>
  </w:font>
  <w:font w:name="MS Gothic">
    <w:charset w:val="01" w:characterSet="utf-8"/>
    <w:family w:val="swiss"/>
    <w:pitch w:val="variable"/>
  </w:font>
  <w:font w:name="Roboto-Regular">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0306746"/>
    </w:sdtPr>
    <w:sdtContent>
      <w:p>
        <w:pPr>
          <w:pStyle w:val="Footer"/>
          <w:jc w:val="end"/>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0306746"/>
    </w:sdtPr>
    <w:sdtContent>
      <w:p>
        <w:pPr>
          <w:pStyle w:val="Footer"/>
          <w:jc w:val="end"/>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rFonts w:ascii="Roboto" w:hAnsi="Roboto"/>
          <w:sz w:val="18"/>
          <w:szCs w:val="18"/>
        </w:rPr>
      </w:pPr>
      <w:r>
        <w:rPr>
          <w:rStyle w:val="Funotenzeichen"/>
        </w:rPr>
        <w:footnoteRef/>
      </w:r>
      <w:r>
        <w:rPr>
          <w:rFonts w:ascii="Roboto" w:hAnsi="Roboto"/>
        </w:rPr>
        <w:t xml:space="preserve"> </w:t>
      </w:r>
      <w:r>
        <w:rPr>
          <w:rFonts w:ascii="Roboto" w:hAnsi="Roboto"/>
          <w:sz w:val="18"/>
          <w:szCs w:val="18"/>
        </w:rPr>
        <w:t>https://www.revosax.sachsen.de/vorschrift/18231-Saechsische-Studienakkreditierungsverordnung</w:t>
      </w:r>
    </w:p>
  </w:footnote>
  <w:footnote w:id="3">
    <w:p>
      <w:pPr>
        <w:pStyle w:val="FootnoteText"/>
        <w:rPr>
          <w:rFonts w:ascii="Roboto" w:hAnsi="Roboto"/>
          <w:sz w:val="18"/>
          <w:szCs w:val="18"/>
        </w:rPr>
      </w:pPr>
      <w:r>
        <w:rPr>
          <w:rStyle w:val="Funotenzeichen"/>
        </w:rPr>
        <w:footnoteRef/>
      </w:r>
      <w:r>
        <w:rPr>
          <w:rFonts w:ascii="Roboto" w:hAnsi="Roboto"/>
          <w:sz w:val="18"/>
          <w:szCs w:val="18"/>
        </w:rPr>
        <w:t xml:space="preserve"> </w:t>
      </w:r>
      <w:r>
        <w:rPr>
          <w:rFonts w:ascii="Roboto" w:hAnsi="Roboto"/>
          <w:sz w:val="18"/>
          <w:szCs w:val="18"/>
        </w:rPr>
        <w:t>https://www.revosax.sachsen.de/vorschrift/19986-Saechsisches-Hochschulgesetz</w:t>
      </w:r>
    </w:p>
  </w:footnote>
  <w:footnote w:id="4">
    <w:p>
      <w:pPr>
        <w:pStyle w:val="FootnoteText"/>
        <w:rPr>
          <w:rFonts w:ascii="Roboto" w:hAnsi="Roboto"/>
        </w:rPr>
      </w:pPr>
      <w:r>
        <w:rPr>
          <w:rStyle w:val="Funotenzeichen"/>
        </w:rPr>
        <w:footnoteRef/>
      </w:r>
      <w:r>
        <w:rPr>
          <w:rFonts w:ascii="Roboto" w:hAnsi="Roboto"/>
        </w:rPr>
        <w:t xml:space="preserve"> </w:t>
      </w:r>
      <w:r>
        <w:rPr>
          <w:rFonts w:ascii="Roboto" w:hAnsi="Roboto"/>
          <w:sz w:val="18"/>
          <w:szCs w:val="18"/>
        </w:rPr>
        <w:t>nachstehend nur noch Master</w:t>
      </w:r>
    </w:p>
  </w:footnote>
  <w:footnote w:id="5">
    <w:p>
      <w:pPr>
        <w:pStyle w:val="FootnoteText"/>
        <w:rPr>
          <w:rFonts w:ascii="Roboto" w:hAnsi="Roboto"/>
          <w:sz w:val="18"/>
          <w:szCs w:val="18"/>
        </w:rPr>
      </w:pPr>
      <w:r>
        <w:rPr>
          <w:rStyle w:val="Funotenzeichen"/>
        </w:rPr>
        <w:footnoteRef/>
      </w:r>
      <w:r>
        <w:rPr>
          <w:rFonts w:ascii="Roboto" w:hAnsi="Roboto"/>
          <w:sz w:val="18"/>
          <w:szCs w:val="18"/>
        </w:rPr>
        <w:t xml:space="preserve"> </w:t>
      </w:r>
      <w:r>
        <w:rPr>
          <w:rFonts w:ascii="Roboto" w:hAnsi="Roboto"/>
          <w:sz w:val="18"/>
          <w:szCs w:val="18"/>
        </w:rPr>
        <w:t>SO = Studienordnung</w:t>
      </w:r>
    </w:p>
  </w:footnote>
  <w:footnote w:id="6">
    <w:p>
      <w:pPr>
        <w:pStyle w:val="FootnoteText"/>
        <w:rPr>
          <w:rFonts w:ascii="Roboto" w:hAnsi="Roboto"/>
          <w:sz w:val="18"/>
          <w:szCs w:val="18"/>
        </w:rPr>
      </w:pPr>
      <w:r>
        <w:rPr>
          <w:rStyle w:val="Funotenzeichen"/>
        </w:rPr>
        <w:footnoteRef/>
      </w:r>
      <w:r>
        <w:rPr>
          <w:rFonts w:ascii="Roboto" w:hAnsi="Roboto"/>
          <w:sz w:val="18"/>
          <w:szCs w:val="18"/>
        </w:rPr>
        <w:t xml:space="preserve"> </w:t>
      </w:r>
      <w:r>
        <w:rPr>
          <w:rFonts w:ascii="Roboto" w:hAnsi="Roboto"/>
          <w:sz w:val="18"/>
          <w:szCs w:val="18"/>
        </w:rPr>
        <w:t>SGK = Studiengangkonzept</w:t>
      </w:r>
    </w:p>
  </w:footnote>
  <w:footnote w:id="7">
    <w:p>
      <w:pPr>
        <w:pStyle w:val="FootnoteText"/>
        <w:rPr>
          <w:rFonts w:ascii="Roboto" w:hAnsi="Roboto"/>
          <w:sz w:val="18"/>
          <w:szCs w:val="18"/>
        </w:rPr>
      </w:pPr>
      <w:r>
        <w:rPr>
          <w:rStyle w:val="Funotenzeichen"/>
        </w:rPr>
        <w:footnoteRef/>
      </w:r>
      <w:r>
        <w:rPr>
          <w:rFonts w:ascii="Roboto" w:hAnsi="Roboto"/>
          <w:sz w:val="18"/>
          <w:szCs w:val="18"/>
        </w:rPr>
        <w:t xml:space="preserve"> </w:t>
      </w:r>
      <w:r>
        <w:rPr>
          <w:rFonts w:ascii="Roboto" w:hAnsi="Roboto"/>
          <w:sz w:val="18"/>
          <w:szCs w:val="18"/>
        </w:rPr>
        <w:t>PO = Prüfungsordnung</w:t>
      </w:r>
    </w:p>
  </w:footnote>
  <w:footnote w:id="8">
    <w:p>
      <w:pPr>
        <w:pStyle w:val="FootnoteText"/>
        <w:rPr>
          <w:rFonts w:ascii="Roboto" w:hAnsi="Roboto"/>
          <w:sz w:val="18"/>
          <w:szCs w:val="18"/>
        </w:rPr>
      </w:pPr>
      <w:r>
        <w:rPr>
          <w:rStyle w:val="Funotenzeichen"/>
        </w:rPr>
        <w:footnoteRef/>
      </w:r>
      <w:r>
        <w:rPr>
          <w:rFonts w:ascii="Roboto" w:hAnsi="Roboto"/>
          <w:sz w:val="18"/>
          <w:szCs w:val="18"/>
        </w:rPr>
        <w:t xml:space="preserve"> </w:t>
      </w:r>
      <w:r>
        <w:rPr>
          <w:rFonts w:ascii="Roboto" w:hAnsi="Roboto"/>
          <w:sz w:val="18"/>
          <w:szCs w:val="18"/>
        </w:rPr>
        <w:t>MB = Modulbeschreibung</w:t>
      </w:r>
    </w:p>
  </w:footnote>
  <w:footnote w:id="9">
    <w:p>
      <w:pPr>
        <w:pStyle w:val="FootnoteText"/>
        <w:rPr>
          <w:rFonts w:ascii="Roboto" w:hAnsi="Roboto"/>
          <w:sz w:val="18"/>
          <w:szCs w:val="18"/>
        </w:rPr>
      </w:pPr>
      <w:r>
        <w:rPr>
          <w:rStyle w:val="Funotenzeichen"/>
        </w:rPr>
        <w:footnoteRef/>
      </w:r>
      <w:r>
        <w:rPr>
          <w:rFonts w:ascii="Roboto" w:hAnsi="Roboto"/>
          <w:sz w:val="18"/>
          <w:szCs w:val="18"/>
        </w:rPr>
        <w:t xml:space="preserve"> </w:t>
      </w:r>
      <w:r>
        <w:rPr>
          <w:rFonts w:ascii="Roboto" w:hAnsi="Roboto"/>
          <w:sz w:val="18"/>
          <w:szCs w:val="18"/>
        </w:rPr>
        <w:t>SAP = Studienablaufplan</w:t>
      </w:r>
    </w:p>
  </w:footnote>
  <w:footnote w:id="10">
    <w:p>
      <w:pPr>
        <w:pStyle w:val="FootnoteText"/>
        <w:jc w:val="both"/>
        <w:rPr>
          <w:rFonts w:ascii="Roboto" w:hAnsi="Roboto"/>
          <w:sz w:val="18"/>
          <w:szCs w:val="18"/>
        </w:rPr>
      </w:pPr>
      <w:r>
        <w:rPr>
          <w:rStyle w:val="Funotenzeichen"/>
        </w:rPr>
        <w:footnoteRef/>
      </w:r>
      <w:r>
        <w:rPr>
          <w:rFonts w:ascii="Roboto" w:hAnsi="Roboto"/>
          <w:sz w:val="18"/>
          <w:szCs w:val="18"/>
        </w:rPr>
        <w:t xml:space="preserve"> </w:t>
      </w:r>
      <w:r>
        <w:rPr>
          <w:rFonts w:cs="Calibri" w:ascii="Roboto" w:hAnsi="Roboto" w:cstheme="minorHAnsi"/>
          <w:color w:val="000000"/>
          <w:sz w:val="18"/>
          <w:szCs w:val="18"/>
        </w:rPr>
        <w:t>Unter den Voraussetzungen für die Teilnahme sollten Kenntnisse, Fähigkeiten und Fertigkeiten für eine erfolgreiche Teilnahme und Hinweise für die geeignete Vorbereitung genannt werden (vgl. § 7 Abs. 3 Satz 1 SächsStudAkkVO). In der Vorlage für die Modulbeschreibung der TUC unter Anmerkung 3 konkretisiert: „</w:t>
      </w:r>
      <w:r>
        <w:rPr>
          <w:rFonts w:ascii="Roboto" w:hAnsi="Roboto"/>
          <w:sz w:val="18"/>
          <w:szCs w:val="18"/>
        </w:rPr>
        <w:t xml:space="preserve">Hier sind Kenntnisse, Fähigkeiten und Fertigkeiten zu beschreiben, die für die erfolgreiche Teilnahme am Modul erwartet werden. Außerdem soll beschrieben sein, wie sich die Studierenden auf die Teilnahme an diesem Modul vorbereiten können. Literaturhinweise können aufgenommen werden.“ </w:t>
      </w:r>
    </w:p>
  </w:footnote>
  <w:footnote w:id="11">
    <w:p>
      <w:pPr>
        <w:pStyle w:val="FootnoteText"/>
        <w:jc w:val="both"/>
        <w:rPr>
          <w:rFonts w:ascii="Roboto" w:hAnsi="Roboto"/>
          <w:sz w:val="18"/>
          <w:szCs w:val="18"/>
        </w:rPr>
      </w:pPr>
      <w:r>
        <w:rPr>
          <w:rStyle w:val="Funotenzeichen"/>
        </w:rPr>
        <w:footnoteRef/>
      </w:r>
      <w:r>
        <w:rPr>
          <w:rFonts w:ascii="Roboto" w:hAnsi="Roboto"/>
          <w:sz w:val="18"/>
          <w:szCs w:val="18"/>
        </w:rPr>
        <w:t xml:space="preserve"> </w:t>
      </w:r>
      <w:r>
        <w:rPr>
          <w:rFonts w:cs="Calibri" w:ascii="Roboto" w:hAnsi="Roboto" w:cstheme="minorHAnsi"/>
          <w:color w:val="000000"/>
          <w:sz w:val="18"/>
          <w:szCs w:val="18"/>
        </w:rPr>
        <w:t xml:space="preserve">Unter der Verwendbarkeit des Moduls soll der Zusammenhang mit anderen Modulen desselben Studiengangs und der mögliche Einsatz in anderen Studiengängen beschrieben werden (§ 7 Abs. 3 Satz 2 SächsStudAkkVO). Bezüglich des Zusammenhanges im selben Studiengang hat die TF QM vorgeschlagen, dass hier jene Module aufgeführt werden, </w:t>
      </w:r>
      <w:r>
        <w:rPr>
          <w:rFonts w:ascii="Roboto" w:hAnsi="Roboto"/>
          <w:sz w:val="18"/>
          <w:szCs w:val="18"/>
        </w:rPr>
        <w:t>für die dieses Modul Voraussetzung ist: „Dieses Modul ist Voraussetzung für die Teilnahme an den Modulen xyz.“ Dann könnte bei Voraussetzungen ergänzt werden, welche Module bereits erfolgreich abgeschlossen sein müssen.</w:t>
      </w:r>
      <w:r>
        <w:rPr>
          <w:rFonts w:ascii="Roboto" w:hAnsi="Roboto"/>
          <w:sz w:val="18"/>
          <w:szCs w:val="18"/>
          <w:highlight w:val="yellow"/>
        </w:rPr>
        <w:t xml:space="preserve"> </w:t>
      </w:r>
    </w:p>
  </w:footnote>
  <w:footnote w:id="12">
    <w:p>
      <w:pPr>
        <w:pStyle w:val="FootnoteText"/>
        <w:jc w:val="both"/>
        <w:rPr>
          <w:rFonts w:ascii="Roboto" w:hAnsi="Roboto"/>
          <w:sz w:val="18"/>
          <w:szCs w:val="18"/>
        </w:rPr>
      </w:pPr>
      <w:r>
        <w:rPr>
          <w:rStyle w:val="Funotenzeichen"/>
        </w:rPr>
        <w:footnoteRef/>
      </w:r>
      <w:r>
        <w:rPr>
          <w:rFonts w:ascii="Roboto" w:hAnsi="Roboto"/>
          <w:sz w:val="18"/>
          <w:szCs w:val="18"/>
        </w:rPr>
        <w:t xml:space="preserve"> </w:t>
      </w:r>
      <w:r>
        <w:rPr>
          <w:rFonts w:ascii="Roboto" w:hAnsi="Roboto"/>
          <w:sz w:val="18"/>
          <w:szCs w:val="18"/>
        </w:rPr>
        <w:t>Die konkrete Festlegung, wie viele Arbeitsstunden innerhalb der Bandbreite einem ECTS-</w:t>
      </w:r>
      <w:r>
        <w:rPr>
          <w:rFonts w:cs="Calibri" w:ascii="Roboto" w:hAnsi="Roboto" w:cstheme="minorHAnsi"/>
          <w:color w:val="000000"/>
          <w:sz w:val="18"/>
          <w:szCs w:val="18"/>
        </w:rPr>
        <w:t xml:space="preserve">LP </w:t>
      </w:r>
      <w:r>
        <w:rPr>
          <w:rFonts w:ascii="Roboto" w:hAnsi="Roboto"/>
          <w:sz w:val="18"/>
          <w:szCs w:val="18"/>
        </w:rPr>
        <w:t xml:space="preserve">zugrunde liegen, erfolgt in den Studien- und Prüfungsordnungen. (Begründung § 8 Abs. 1 Satz 3 MRVO Abs. 1 Satz 3)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Stand: 27.01.2026</w:t>
    </w:r>
  </w:p>
  <w:p>
    <w:pPr>
      <w:pStyle w:val="Header"/>
      <w:rPr/>
    </w:pPr>
    <w:r>
      <w:rPr/>
      <w:t>weiterbildender Master</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Stand: 27.01.2026</w:t>
    </w:r>
  </w:p>
  <w:p>
    <w:pPr>
      <w:pStyle w:val="Header"/>
      <w:rPr/>
    </w:pPr>
    <w:r>
      <w:rPr/>
      <w:t>weiterbildender Master</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4801"/>
    <w:pPr>
      <w:widowControl/>
      <w:suppressAutoHyphens w:val="true"/>
      <w:bidi w:val="0"/>
      <w:spacing w:before="0" w:after="0"/>
      <w:jc w:val="start"/>
    </w:pPr>
    <w:rPr>
      <w:rFonts w:ascii="Arial" w:hAnsi="Arial" w:eastAsia="Times New Roman" w:cs="Times New Roman"/>
      <w:color w:val="auto"/>
      <w:kern w:val="0"/>
      <w:sz w:val="22"/>
      <w:szCs w:val="22"/>
      <w:lang w:eastAsia="de-DE" w:val="de-DE" w:bidi="ar-SA"/>
    </w:rPr>
  </w:style>
  <w:style w:type="paragraph" w:styleId="Heading1">
    <w:name w:val="heading 1"/>
    <w:basedOn w:val="Normal"/>
    <w:next w:val="Normal"/>
    <w:link w:val="berschrift1Zchn"/>
    <w:uiPriority w:val="9"/>
    <w:qFormat/>
    <w:rsid w:val="003a55f9"/>
    <w:pPr>
      <w:keepNext w:val="true"/>
      <w:keepLines/>
      <w:spacing w:lineRule="auto" w:line="259" w:before="240" w:after="0"/>
      <w:outlineLvl w:val="0"/>
    </w:pPr>
    <w:rPr>
      <w:rFonts w:ascii="Calibri Light" w:hAnsi="Calibri Light" w:eastAsia="" w:cs="" w:asciiTheme="majorHAnsi" w:cstheme="majorBidi" w:eastAsiaTheme="majorEastAsia" w:hAnsiTheme="majorHAnsi"/>
      <w:color w:themeColor="accent1" w:themeShade="bf" w:val="2F5496"/>
      <w:sz w:val="32"/>
      <w:szCs w:val="32"/>
      <w:lang w:eastAsia="en-US"/>
    </w:rPr>
  </w:style>
  <w:style w:type="character" w:styleId="DefaultParagraphFont" w:default="1">
    <w:name w:val="Default Paragraph Font"/>
    <w:uiPriority w:val="1"/>
    <w:semiHidden/>
    <w:unhideWhenUsed/>
    <w:qFormat/>
    <w:rPr/>
  </w:style>
  <w:style w:type="character" w:styleId="FunotentextZchn" w:customStyle="1">
    <w:name w:val="Fußnotentext Zchn"/>
    <w:basedOn w:val="DefaultParagraphFont"/>
    <w:qFormat/>
    <w:rsid w:val="00454801"/>
    <w:rPr>
      <w:rFonts w:ascii="Times New Roman" w:hAnsi="Times New Roman" w:eastAsia="Times New Roman" w:cs="Times New Roman"/>
      <w:sz w:val="20"/>
      <w:szCs w:val="20"/>
      <w:lang w:eastAsia="de-DE"/>
    </w:rPr>
  </w:style>
  <w:style w:type="character" w:styleId="Funotenzeichen">
    <w:name w:val="Fußnotenzeichen"/>
    <w:qFormat/>
    <w:rPr>
      <w:vertAlign w:val="superscript"/>
    </w:rPr>
  </w:style>
  <w:style w:type="character" w:styleId="FootnoteReference">
    <w:name w:val="footnote reference"/>
    <w:rPr>
      <w:vertAlign w:val="superscript"/>
    </w:rPr>
  </w:style>
  <w:style w:type="character" w:styleId="KopfzeileZchn" w:customStyle="1">
    <w:name w:val="Kopfzeile Zchn"/>
    <w:basedOn w:val="DefaultParagraphFont"/>
    <w:uiPriority w:val="99"/>
    <w:qFormat/>
    <w:rsid w:val="00454801"/>
    <w:rPr>
      <w:rFonts w:ascii="Arial" w:hAnsi="Arial" w:eastAsia="Times New Roman" w:cs="Times New Roman"/>
      <w:lang w:eastAsia="de-DE"/>
    </w:rPr>
  </w:style>
  <w:style w:type="character" w:styleId="FuzeileZchn" w:customStyle="1">
    <w:name w:val="Fußzeile Zchn"/>
    <w:basedOn w:val="DefaultParagraphFont"/>
    <w:uiPriority w:val="99"/>
    <w:qFormat/>
    <w:rsid w:val="00454801"/>
    <w:rPr>
      <w:rFonts w:ascii="Arial" w:hAnsi="Arial" w:eastAsia="Times New Roman" w:cs="Times New Roman"/>
      <w:lang w:eastAsia="de-DE"/>
    </w:rPr>
  </w:style>
  <w:style w:type="character" w:styleId="SprechblasentextZchn" w:customStyle="1">
    <w:name w:val="Sprechblasentext Zchn"/>
    <w:basedOn w:val="DefaultParagraphFont"/>
    <w:link w:val="BalloonText"/>
    <w:uiPriority w:val="99"/>
    <w:semiHidden/>
    <w:qFormat/>
    <w:rsid w:val="00454801"/>
    <w:rPr>
      <w:rFonts w:ascii="Segoe UI" w:hAnsi="Segoe UI" w:eastAsia="Times New Roman" w:cs="Segoe UI"/>
      <w:sz w:val="18"/>
      <w:szCs w:val="18"/>
      <w:lang w:eastAsia="de-DE"/>
    </w:rPr>
  </w:style>
  <w:style w:type="character" w:styleId="CommentReference">
    <w:name w:val="annotation reference"/>
    <w:basedOn w:val="DefaultParagraphFont"/>
    <w:uiPriority w:val="99"/>
    <w:semiHidden/>
    <w:unhideWhenUsed/>
    <w:qFormat/>
    <w:rsid w:val="00883d6e"/>
    <w:rPr>
      <w:sz w:val="16"/>
      <w:szCs w:val="16"/>
    </w:rPr>
  </w:style>
  <w:style w:type="character" w:styleId="KommentartextZchn" w:customStyle="1">
    <w:name w:val="Kommentartext Zchn"/>
    <w:basedOn w:val="DefaultParagraphFont"/>
    <w:uiPriority w:val="99"/>
    <w:qFormat/>
    <w:rsid w:val="00883d6e"/>
    <w:rPr>
      <w:rFonts w:ascii="Arial" w:hAnsi="Arial" w:eastAsia="Times New Roman" w:cs="Times New Roman"/>
      <w:sz w:val="20"/>
      <w:szCs w:val="20"/>
      <w:lang w:eastAsia="de-DE"/>
    </w:rPr>
  </w:style>
  <w:style w:type="character" w:styleId="KommentarthemaZchn" w:customStyle="1">
    <w:name w:val="Kommentarthema Zchn"/>
    <w:basedOn w:val="KommentartextZchn"/>
    <w:link w:val="annotationsubject"/>
    <w:uiPriority w:val="99"/>
    <w:semiHidden/>
    <w:qFormat/>
    <w:rsid w:val="00883d6e"/>
    <w:rPr>
      <w:rFonts w:ascii="Arial" w:hAnsi="Arial" w:eastAsia="Times New Roman" w:cs="Times New Roman"/>
      <w:b/>
      <w:bCs/>
      <w:sz w:val="20"/>
      <w:szCs w:val="20"/>
      <w:lang w:eastAsia="de-DE"/>
    </w:rPr>
  </w:style>
  <w:style w:type="character" w:styleId="Hyperlink">
    <w:name w:val="Hyperlink"/>
    <w:basedOn w:val="DefaultParagraphFont"/>
    <w:uiPriority w:val="99"/>
    <w:unhideWhenUsed/>
    <w:rsid w:val="00ff274f"/>
    <w:rPr>
      <w:color w:themeColor="hyperlink" w:val="0563C1"/>
      <w:u w:val="single"/>
    </w:rPr>
  </w:style>
  <w:style w:type="character" w:styleId="NichtaufgelsteErwhnung1" w:customStyle="1">
    <w:name w:val="Nicht aufgelöste Erwähnung1"/>
    <w:basedOn w:val="DefaultParagraphFont"/>
    <w:uiPriority w:val="99"/>
    <w:semiHidden/>
    <w:unhideWhenUsed/>
    <w:qFormat/>
    <w:rsid w:val="00ff274f"/>
    <w:rPr>
      <w:color w:val="605E5C"/>
      <w:shd w:fill="E1DFDD" w:val="clear"/>
    </w:rPr>
  </w:style>
  <w:style w:type="character" w:styleId="berschrift1Zchn" w:customStyle="1">
    <w:name w:val="Überschrift 1 Zchn"/>
    <w:basedOn w:val="DefaultParagraphFont"/>
    <w:uiPriority w:val="9"/>
    <w:qFormat/>
    <w:rsid w:val="003a55f9"/>
    <w:rPr>
      <w:rFonts w:ascii="Calibri Light" w:hAnsi="Calibri Light" w:eastAsia="" w:cs="" w:asciiTheme="majorHAnsi" w:cstheme="majorBidi" w:eastAsiaTheme="majorEastAsia" w:hAnsiTheme="majorHAnsi"/>
      <w:color w:themeColor="accent1" w:themeShade="bf" w:val="2F5496"/>
      <w:sz w:val="32"/>
      <w:szCs w:val="32"/>
    </w:rPr>
  </w:style>
  <w:style w:type="character" w:styleId="NurTextZchn" w:customStyle="1">
    <w:name w:val="Nur Text Zchn"/>
    <w:basedOn w:val="DefaultParagraphFont"/>
    <w:link w:val="PlainText"/>
    <w:uiPriority w:val="99"/>
    <w:qFormat/>
    <w:rsid w:val="003250f5"/>
    <w:rPr>
      <w:rFonts w:ascii="Calibri" w:hAnsi="Calibri"/>
      <w:szCs w:val="21"/>
    </w:rPr>
  </w:style>
  <w:style w:type="character" w:styleId="highlight" w:customStyle="1">
    <w:name w:val="highlight"/>
    <w:basedOn w:val="DefaultParagraphFont"/>
    <w:qFormat/>
    <w:rsid w:val="005e1327"/>
    <w:rPr/>
  </w:style>
  <w:style w:type="character" w:styleId="Endnotenzeichen">
    <w:name w:val="Endnotenzeichen"/>
    <w:qFormat/>
    <w:rPr/>
  </w:style>
  <w:style w:type="character" w:styleId="EndnoteReference">
    <w:name w:val="endnote reference"/>
    <w:rPr>
      <w:vertAlign w:val="superscript"/>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Verzeichnis">
    <w:name w:val="Verzeichnis"/>
    <w:basedOn w:val="Normal"/>
    <w:qFormat/>
    <w:pPr>
      <w:suppressLineNumbers/>
    </w:pPr>
    <w:rPr>
      <w:rFonts w:cs="Noto Sans"/>
    </w:rPr>
  </w:style>
  <w:style w:type="paragraph" w:styleId="berschriftuser" w:customStyle="1">
    <w:name w:val="Überschrift (user)"/>
    <w:basedOn w:val="Normal"/>
    <w:next w:val="BodyText"/>
    <w:qFormat/>
    <w:pPr>
      <w:keepNext w:val="true"/>
      <w:spacing w:before="240" w:after="120"/>
    </w:pPr>
    <w:rPr>
      <w:rFonts w:ascii="Carlito" w:hAnsi="Carlito" w:eastAsia="Noto Sans SC Regular" w:cs="Noto Sans"/>
      <w:sz w:val="28"/>
      <w:szCs w:val="28"/>
    </w:rPr>
  </w:style>
  <w:style w:type="paragraph" w:styleId="Verzeichnisuser" w:customStyle="1">
    <w:name w:val="Verzeichnis (user)"/>
    <w:basedOn w:val="Normal"/>
    <w:qFormat/>
    <w:pPr>
      <w:suppressLineNumbers/>
    </w:pPr>
    <w:rPr>
      <w:rFonts w:cs="Noto Sans"/>
    </w:rPr>
  </w:style>
  <w:style w:type="paragraph" w:styleId="FootnoteText">
    <w:name w:val="footnote text"/>
    <w:basedOn w:val="Normal"/>
    <w:link w:val="FunotentextZchn"/>
    <w:rsid w:val="00454801"/>
    <w:pPr/>
    <w:rPr>
      <w:rFonts w:ascii="Times New Roman" w:hAnsi="Times New Roman"/>
      <w:sz w:val="20"/>
      <w:szCs w:val="20"/>
    </w:rPr>
  </w:style>
  <w:style w:type="paragraph" w:styleId="ListParagraph">
    <w:name w:val="List Paragraph"/>
    <w:basedOn w:val="Normal"/>
    <w:uiPriority w:val="34"/>
    <w:qFormat/>
    <w:rsid w:val="00454801"/>
    <w:pPr>
      <w:spacing w:before="0" w:after="0"/>
      <w:ind w:start="720"/>
      <w:contextualSpacing/>
    </w:pPr>
    <w:rPr/>
  </w:style>
  <w:style w:type="paragraph" w:styleId="Hinweis" w:customStyle="1">
    <w:name w:val="Hinweis"/>
    <w:basedOn w:val="Normal"/>
    <w:qFormat/>
    <w:rsid w:val="00454801"/>
    <w:pPr>
      <w:pBdr>
        <w:top w:val="single" w:sz="4" w:space="10" w:color="000000"/>
        <w:left w:val="single" w:sz="4" w:space="4" w:color="000000"/>
        <w:bottom w:val="single" w:sz="4" w:space="10" w:color="000000"/>
        <w:right w:val="single" w:sz="4" w:space="4" w:color="000000"/>
      </w:pBdr>
      <w:shd w:val="clear" w:color="auto" w:fill="FFE599" w:themeFill="accent4" w:themeFillTint="66"/>
      <w:spacing w:lineRule="auto" w:line="276"/>
      <w:jc w:val="both"/>
    </w:pPr>
    <w:rPr>
      <w:rFonts w:ascii="Roboto Condensed" w:hAnsi="Roboto Condensed" w:eastAsia="Calibri" w:eastAsiaTheme="minorHAnsi"/>
      <w:bCs/>
      <w:sz w:val="24"/>
      <w:szCs w:val="20"/>
      <w:lang w:eastAsia="en-US"/>
    </w:rPr>
  </w:style>
  <w:style w:type="paragraph" w:styleId="Kopf-Fuzeileuser" w:customStyle="1">
    <w:name w:val="Kopf-/Fußzeile (user)"/>
    <w:basedOn w:val="Normal"/>
    <w:qFormat/>
    <w:pPr/>
    <w:rPr/>
  </w:style>
  <w:style w:type="paragraph" w:styleId="Kopf-Fuzeile">
    <w:name w:val="Kopf-/Fußzeile"/>
    <w:basedOn w:val="Normal"/>
    <w:qFormat/>
    <w:pPr/>
    <w:rPr/>
  </w:style>
  <w:style w:type="paragraph" w:styleId="Header">
    <w:name w:val="header"/>
    <w:basedOn w:val="Normal"/>
    <w:link w:val="KopfzeileZchn"/>
    <w:uiPriority w:val="99"/>
    <w:unhideWhenUsed/>
    <w:rsid w:val="00454801"/>
    <w:pPr>
      <w:tabs>
        <w:tab w:val="clear" w:pos="708"/>
        <w:tab w:val="center" w:pos="4536" w:leader="none"/>
        <w:tab w:val="right" w:pos="9072" w:leader="none"/>
      </w:tabs>
    </w:pPr>
    <w:rPr/>
  </w:style>
  <w:style w:type="paragraph" w:styleId="Footer">
    <w:name w:val="footer"/>
    <w:basedOn w:val="Normal"/>
    <w:link w:val="FuzeileZchn"/>
    <w:uiPriority w:val="99"/>
    <w:unhideWhenUsed/>
    <w:rsid w:val="00454801"/>
    <w:pPr>
      <w:tabs>
        <w:tab w:val="clear" w:pos="708"/>
        <w:tab w:val="center" w:pos="4536" w:leader="none"/>
        <w:tab w:val="right" w:pos="9072" w:leader="none"/>
      </w:tabs>
    </w:pPr>
    <w:rPr/>
  </w:style>
  <w:style w:type="paragraph" w:styleId="BalloonText">
    <w:name w:val="Balloon Text"/>
    <w:basedOn w:val="Normal"/>
    <w:link w:val="SprechblasentextZchn"/>
    <w:uiPriority w:val="99"/>
    <w:semiHidden/>
    <w:unhideWhenUsed/>
    <w:qFormat/>
    <w:rsid w:val="00454801"/>
    <w:pPr/>
    <w:rPr>
      <w:rFonts w:ascii="Segoe UI" w:hAnsi="Segoe UI" w:cs="Segoe UI"/>
      <w:sz w:val="18"/>
      <w:szCs w:val="18"/>
    </w:rPr>
  </w:style>
  <w:style w:type="paragraph" w:styleId="CommentText">
    <w:name w:val="annotation text"/>
    <w:basedOn w:val="Normal"/>
    <w:link w:val="KommentartextZchn"/>
    <w:uiPriority w:val="99"/>
    <w:unhideWhenUsed/>
    <w:rsid w:val="00883d6e"/>
    <w:pPr/>
    <w:rPr>
      <w:sz w:val="20"/>
      <w:szCs w:val="20"/>
    </w:rPr>
  </w:style>
  <w:style w:type="paragraph" w:styleId="annotationsubject">
    <w:name w:val="annotation subject"/>
    <w:basedOn w:val="CommentText"/>
    <w:next w:val="CommentText"/>
    <w:link w:val="KommentarthemaZchn"/>
    <w:uiPriority w:val="99"/>
    <w:semiHidden/>
    <w:unhideWhenUsed/>
    <w:qFormat/>
    <w:rsid w:val="00883d6e"/>
    <w:pPr/>
    <w:rPr>
      <w:b/>
      <w:bCs/>
    </w:rPr>
  </w:style>
  <w:style w:type="paragraph" w:styleId="PlainText">
    <w:name w:val="Plain Text"/>
    <w:basedOn w:val="Normal"/>
    <w:link w:val="NurTextZchn"/>
    <w:uiPriority w:val="99"/>
    <w:unhideWhenUsed/>
    <w:qFormat/>
    <w:rsid w:val="003250f5"/>
    <w:pPr/>
    <w:rPr>
      <w:rFonts w:ascii="Calibri" w:hAnsi="Calibri" w:eastAsia="Calibri" w:cs="" w:cstheme="minorBidi" w:eastAsiaTheme="minorHAnsi"/>
      <w:szCs w:val="21"/>
      <w:lang w:eastAsia="en-US"/>
    </w:rPr>
  </w:style>
  <w:style w:type="paragraph" w:styleId="Default" w:customStyle="1">
    <w:name w:val="Default"/>
    <w:qFormat/>
    <w:rsid w:val="00f9722a"/>
    <w:pPr>
      <w:widowControl/>
      <w:suppressAutoHyphens w:val="true"/>
      <w:bidi w:val="0"/>
      <w:spacing w:before="0" w:after="0"/>
      <w:jc w:val="start"/>
    </w:pPr>
    <w:rPr>
      <w:rFonts w:ascii="Roboto" w:hAnsi="Roboto" w:eastAsia="Calibri" w:cs="Roboto"/>
      <w:color w:val="000000"/>
      <w:kern w:val="0"/>
      <w:sz w:val="24"/>
      <w:szCs w:val="24"/>
      <w:lang w:val="de-DE" w:eastAsia="en-US" w:bidi="ar-SA"/>
    </w:rPr>
  </w:style>
  <w:style w:type="paragraph" w:styleId="Revision">
    <w:name w:val="Revision"/>
    <w:uiPriority w:val="99"/>
    <w:semiHidden/>
    <w:qFormat/>
    <w:rsid w:val="00350639"/>
    <w:pPr>
      <w:widowControl/>
      <w:suppressAutoHyphens w:val="true"/>
      <w:bidi w:val="0"/>
      <w:spacing w:before="0" w:after="0"/>
      <w:jc w:val="start"/>
    </w:pPr>
    <w:rPr>
      <w:rFonts w:ascii="Arial" w:hAnsi="Arial" w:eastAsia="Times New Roman" w:cs="Times New Roman"/>
      <w:color w:val="auto"/>
      <w:kern w:val="0"/>
      <w:sz w:val="22"/>
      <w:szCs w:val="22"/>
      <w:lang w:eastAsia="de-DE" w:val="de-DE" w:bidi="ar-SA"/>
    </w:rPr>
  </w:style>
  <w:style w:type="paragraph" w:styleId="Rahmeninhaltuser" w:customStyle="1">
    <w:name w:val="Rahmeninhalt (user)"/>
    <w:basedOn w:val="Normal"/>
    <w:qFormat/>
    <w:pPr/>
    <w:rPr/>
  </w:style>
  <w:style w:type="paragraph" w:styleId="Tabelleninhaltuser" w:customStyle="1">
    <w:name w:val="Tabelleninhalt (user)"/>
    <w:basedOn w:val="Normal"/>
    <w:qFormat/>
    <w:rsid w:val="000b1ef9"/>
    <w:pPr>
      <w:widowControl w:val="false"/>
      <w:suppressLineNumbers/>
    </w:pPr>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454801"/>
    <w:rPr>
      <w:sz w:val="20"/>
      <w:szCs w:val="20"/>
      <w:lang w:eastAsia="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lenraster1">
    <w:name w:val="Tabellenraster1"/>
    <w:basedOn w:val="NormaleTabelle"/>
    <w:uiPriority w:val="39"/>
    <w:rsid w:val="003a55f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lenraster2">
    <w:name w:val="Tabellenraster2"/>
    <w:basedOn w:val="NormaleTabelle"/>
    <w:uiPriority w:val="39"/>
    <w:rsid w:val="003a55f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lenraster3">
    <w:name w:val="Tabellenraster3"/>
    <w:basedOn w:val="NormaleTabelle"/>
    <w:uiPriority w:val="39"/>
    <w:rsid w:val="003a55f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lenraster4">
    <w:name w:val="Tabellenraster4"/>
    <w:basedOn w:val="NormaleTabelle"/>
    <w:uiPriority w:val="39"/>
    <w:rsid w:val="00ed56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FFA2D-6AAC-43AE-B4E1-E91FCB617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Collabora_Office/25.04.7.2$Linux_X86_64 LibreOffice_project/ddf570af86d6399f03cbd397dd60186f0a8e85ed</Application>
  <AppVersion>15.0000</AppVersion>
  <Pages>7</Pages>
  <Words>2593</Words>
  <Characters>14949</Characters>
  <CharactersWithSpaces>17387</CharactersWithSpaces>
  <Paragraphs>367</Paragraphs>
  <Company>TU Chemnitz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2025-01-06T16:36:00Z</dcterms:created>
  <dc:creator>Sandra Rechenberg</dc:creator>
  <dc:description/>
  <dc:language>de-DE</dc:language>
  <cp:lastModifiedBy/>
  <cp:lastPrinted>2020-05-22T06:47:00Z</cp:lastPrinted>
  <dcterms:modified xsi:type="dcterms:W3CDTF">2026-03-20T13:47:25Z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